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44318" w14:textId="4C5065FF" w:rsidR="00CE7316" w:rsidRDefault="00803F81" w:rsidP="00326A3B">
      <w:pPr>
        <w:spacing w:line="360" w:lineRule="auto"/>
        <w:jc w:val="both"/>
        <w:rPr>
          <w:rFonts w:ascii="D-DIN" w:hAnsi="D-DIN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anchorId="3A3A13A6" wp14:editId="71190848">
            <wp:simplePos x="0" y="0"/>
            <wp:positionH relativeFrom="margin">
              <wp:posOffset>-1501140</wp:posOffset>
            </wp:positionH>
            <wp:positionV relativeFrom="paragraph">
              <wp:posOffset>-967740</wp:posOffset>
            </wp:positionV>
            <wp:extent cx="2926080" cy="2362200"/>
            <wp:effectExtent l="0" t="0" r="0" b="0"/>
            <wp:wrapNone/>
            <wp:docPr id="2136882574" name="Imagem 2" descr="Uma imagem com lua, Objeto astronómico, Evento celestial, esfe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882574" name="Imagem 2" descr="Uma imagem com lua, Objeto astronómico, Evento celestial, esfer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36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74461CAB" wp14:editId="50241A9D">
            <wp:simplePos x="0" y="0"/>
            <wp:positionH relativeFrom="page">
              <wp:posOffset>-3810</wp:posOffset>
            </wp:positionH>
            <wp:positionV relativeFrom="paragraph">
              <wp:posOffset>-907415</wp:posOffset>
            </wp:positionV>
            <wp:extent cx="12623800" cy="341630"/>
            <wp:effectExtent l="0" t="0" r="6350" b="1270"/>
            <wp:wrapNone/>
            <wp:docPr id="5888926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0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36F801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67A3F958" w14:textId="1C72E9ED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C169CFD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24631D0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9057A6C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C112567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6F8DBA9A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DA54953" w14:textId="2E73186F" w:rsidR="00EB29EE" w:rsidRPr="002D50DD" w:rsidRDefault="00743BF7" w:rsidP="00EB29EE">
      <w:pPr>
        <w:jc w:val="center"/>
        <w:rPr>
          <w:rFonts w:ascii="D-DIN" w:hAnsi="D-DIN" w:cstheme="minorHAnsi"/>
          <w:b/>
          <w:bCs/>
          <w:color w:val="8C357F"/>
          <w:kern w:val="0"/>
          <w:sz w:val="72"/>
          <w:szCs w:val="72"/>
          <w14:ligatures w14:val="none"/>
        </w:rPr>
      </w:pPr>
      <w:r>
        <w:rPr>
          <w:rFonts w:ascii="D-DIN" w:hAnsi="D-DIN" w:cstheme="minorHAnsi"/>
          <w:b/>
          <w:bCs/>
          <w:color w:val="8C357F"/>
          <w:kern w:val="0"/>
          <w:sz w:val="72"/>
          <w:szCs w:val="72"/>
          <w14:ligatures w14:val="none"/>
        </w:rPr>
        <w:t>POLÍTICA DE</w:t>
      </w:r>
      <w:r w:rsidR="00633561">
        <w:rPr>
          <w:rFonts w:ascii="D-DIN" w:hAnsi="D-DIN" w:cstheme="minorHAnsi"/>
          <w:b/>
          <w:bCs/>
          <w:color w:val="8C357F"/>
          <w:kern w:val="0"/>
          <w:sz w:val="72"/>
          <w:szCs w:val="72"/>
          <w14:ligatures w14:val="none"/>
        </w:rPr>
        <w:t xml:space="preserve"> GESTÃO DE RISCO</w:t>
      </w:r>
    </w:p>
    <w:p w14:paraId="4CCAFF13" w14:textId="77777777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2ED44CDC" w14:textId="019F83C2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7C5E867C" w14:textId="6D366191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BB683E6" w14:textId="6DF614B1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2A349778" w14:textId="654BD902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236D60C8" w14:textId="13CF02FB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2982679" w14:textId="2FED6164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F2AF9BE" w14:textId="7A68C5E9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3FAE5F3" w14:textId="5069A2A4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32D0098E" w14:textId="207D67C5" w:rsidR="00CE7316" w:rsidRDefault="005443E2" w:rsidP="00326A3B">
      <w:pPr>
        <w:spacing w:line="360" w:lineRule="auto"/>
        <w:jc w:val="both"/>
        <w:rPr>
          <w:rFonts w:ascii="D-DIN" w:hAnsi="D-DIN"/>
        </w:rPr>
      </w:pPr>
      <w:r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3DBEE578" wp14:editId="5B752AA9">
            <wp:simplePos x="0" y="0"/>
            <wp:positionH relativeFrom="column">
              <wp:posOffset>-2389505</wp:posOffset>
            </wp:positionH>
            <wp:positionV relativeFrom="paragraph">
              <wp:posOffset>263525</wp:posOffset>
            </wp:positionV>
            <wp:extent cx="3602990" cy="3596640"/>
            <wp:effectExtent l="0" t="0" r="0" b="0"/>
            <wp:wrapNone/>
            <wp:docPr id="1604557863" name="Imagem 4" descr="Uma imagem com círculo, Saturação de cores, Gráficos,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557863" name="Imagem 4" descr="Uma imagem com círculo, Saturação de cores, Gráficos, captura de ecrã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8861C2" w14:textId="54C3C816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11BC5DB9" w14:textId="35E44999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0106A91B" w14:textId="420CAB00" w:rsidR="00CE7316" w:rsidRDefault="00CE7316" w:rsidP="00326A3B">
      <w:pPr>
        <w:spacing w:line="360" w:lineRule="auto"/>
        <w:jc w:val="both"/>
        <w:rPr>
          <w:rFonts w:ascii="D-DIN" w:hAnsi="D-DIN"/>
        </w:rPr>
      </w:pPr>
    </w:p>
    <w:p w14:paraId="6F959D60" w14:textId="5B18AD49" w:rsidR="00796C91" w:rsidRDefault="00796C91" w:rsidP="0064582B">
      <w:pPr>
        <w:spacing w:line="360" w:lineRule="auto"/>
        <w:jc w:val="both"/>
        <w:rPr>
          <w:rFonts w:ascii="D-DIN" w:hAnsi="D-DIN"/>
        </w:rPr>
      </w:pPr>
    </w:p>
    <w:p w14:paraId="2A19BF6D" w14:textId="5D18C27E" w:rsidR="00633561" w:rsidRDefault="00633561" w:rsidP="0064582B">
      <w:pPr>
        <w:spacing w:line="360" w:lineRule="auto"/>
        <w:jc w:val="both"/>
        <w:rPr>
          <w:rFonts w:ascii="D-DIN" w:hAnsi="D-DIN"/>
        </w:rPr>
      </w:pPr>
    </w:p>
    <w:p w14:paraId="36E2A65C" w14:textId="19EA5130" w:rsidR="00796C91" w:rsidRDefault="00633561" w:rsidP="0064582B">
      <w:pPr>
        <w:spacing w:line="360" w:lineRule="auto"/>
        <w:jc w:val="both"/>
        <w:rPr>
          <w:rFonts w:ascii="D-DIN" w:hAnsi="D-DIN"/>
        </w:rPr>
      </w:pPr>
      <w:r>
        <w:rPr>
          <w:rFonts w:cstheme="minorHAnsi"/>
          <w:noProof/>
        </w:rPr>
        <w:drawing>
          <wp:anchor distT="0" distB="0" distL="114300" distR="114300" simplePos="0" relativeHeight="251665408" behindDoc="1" locked="0" layoutInCell="1" allowOverlap="1" wp14:anchorId="1809A515" wp14:editId="71391DD3">
            <wp:simplePos x="0" y="0"/>
            <wp:positionH relativeFrom="page">
              <wp:posOffset>99060</wp:posOffset>
            </wp:positionH>
            <wp:positionV relativeFrom="paragraph">
              <wp:posOffset>310515</wp:posOffset>
            </wp:positionV>
            <wp:extent cx="7559675" cy="332740"/>
            <wp:effectExtent l="19050" t="0" r="22225" b="124460"/>
            <wp:wrapNone/>
            <wp:docPr id="92639504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327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E8EFFF" w14:textId="77777777" w:rsidR="00633561" w:rsidRDefault="00633561" w:rsidP="00FC6B81">
      <w:pPr>
        <w:spacing w:line="360" w:lineRule="auto"/>
        <w:ind w:left="-454"/>
        <w:jc w:val="both"/>
        <w:rPr>
          <w:rFonts w:ascii="D-DIN" w:hAnsi="D-DIN"/>
          <w:b/>
          <w:bCs/>
          <w:sz w:val="28"/>
          <w:szCs w:val="28"/>
        </w:rPr>
      </w:pPr>
    </w:p>
    <w:p w14:paraId="4D72AD6A" w14:textId="77777777" w:rsidR="00B11188" w:rsidRDefault="00B11188" w:rsidP="00326A3B">
      <w:pPr>
        <w:spacing w:line="360" w:lineRule="auto"/>
        <w:jc w:val="both"/>
        <w:rPr>
          <w:rFonts w:ascii="D-DIN" w:hAnsi="D-DIN"/>
        </w:rPr>
      </w:pPr>
    </w:p>
    <w:sdt>
      <w:sdtPr>
        <w:rPr>
          <w:rFonts w:ascii="D-DIN" w:eastAsiaTheme="minorHAnsi" w:hAnsi="D-DIN" w:cstheme="minorBidi"/>
          <w:color w:val="auto"/>
          <w:kern w:val="2"/>
          <w:sz w:val="24"/>
          <w:szCs w:val="24"/>
          <w:lang w:val="pt-PT" w:eastAsia="en-US"/>
          <w14:ligatures w14:val="standardContextual"/>
        </w:rPr>
        <w:id w:val="-7050214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D7A561B" w14:textId="4F80E126" w:rsidR="0051586F" w:rsidRPr="00C61913" w:rsidRDefault="00FC6B81" w:rsidP="00724B9C">
          <w:pPr>
            <w:pStyle w:val="Cabealhodondice"/>
            <w:spacing w:line="360" w:lineRule="auto"/>
            <w:jc w:val="both"/>
            <w:rPr>
              <w:rFonts w:ascii="D-DIN" w:hAnsi="D-DIN"/>
              <w:b/>
              <w:bCs/>
              <w:color w:val="auto"/>
              <w:sz w:val="28"/>
            </w:rPr>
          </w:pPr>
          <w:r w:rsidRPr="00C61913">
            <w:rPr>
              <w:rFonts w:ascii="D-DIN" w:hAnsi="D-DIN"/>
              <w:b/>
              <w:bCs/>
              <w:color w:val="auto"/>
              <w:sz w:val="28"/>
              <w:lang w:val="pt-PT"/>
            </w:rPr>
            <w:t xml:space="preserve">ÍNDICE </w:t>
          </w:r>
        </w:p>
        <w:p w14:paraId="07013D63" w14:textId="1160E8CB" w:rsidR="007D2628" w:rsidRPr="00764FD5" w:rsidRDefault="0051586F">
          <w:pPr>
            <w:pStyle w:val="ndice2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r w:rsidRPr="00764FD5">
            <w:rPr>
              <w:rFonts w:ascii="D-DIN" w:hAnsi="D-DIN"/>
            </w:rPr>
            <w:fldChar w:fldCharType="begin"/>
          </w:r>
          <w:r w:rsidRPr="00764FD5">
            <w:rPr>
              <w:rFonts w:ascii="D-DIN" w:hAnsi="D-DIN"/>
            </w:rPr>
            <w:instrText xml:space="preserve"> TOC \o "1-3" \h \z \u </w:instrText>
          </w:r>
          <w:r w:rsidRPr="00764FD5">
            <w:rPr>
              <w:rFonts w:ascii="D-DIN" w:hAnsi="D-DIN"/>
            </w:rPr>
            <w:fldChar w:fldCharType="separate"/>
          </w:r>
          <w:hyperlink w:anchor="_Toc232183475" w:history="1">
            <w:r w:rsidR="007D2628" w:rsidRPr="00764FD5">
              <w:rPr>
                <w:rStyle w:val="Hiperligao"/>
                <w:rFonts w:ascii="D-DIN" w:hAnsi="D-DIN"/>
                <w:noProof/>
              </w:rPr>
              <w:t>1.</w:t>
            </w:r>
            <w:r w:rsidR="007D2628"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="007D2628" w:rsidRPr="00764FD5">
              <w:rPr>
                <w:rStyle w:val="Hiperligao"/>
                <w:rFonts w:ascii="D-DIN" w:hAnsi="D-DIN"/>
                <w:noProof/>
              </w:rPr>
              <w:t>Enquadramento</w:t>
            </w:r>
            <w:r w:rsidR="007D2628" w:rsidRPr="00764FD5">
              <w:rPr>
                <w:noProof/>
                <w:webHidden/>
              </w:rPr>
              <w:tab/>
            </w:r>
            <w:r w:rsidR="007D2628" w:rsidRPr="00764FD5">
              <w:rPr>
                <w:noProof/>
                <w:webHidden/>
              </w:rPr>
              <w:fldChar w:fldCharType="begin"/>
            </w:r>
            <w:r w:rsidR="007D2628" w:rsidRPr="00764FD5">
              <w:rPr>
                <w:noProof/>
                <w:webHidden/>
              </w:rPr>
              <w:instrText xml:space="preserve"> PAGEREF _Toc232183475 \h </w:instrText>
            </w:r>
            <w:r w:rsidR="007D2628" w:rsidRPr="00764FD5">
              <w:rPr>
                <w:noProof/>
                <w:webHidden/>
              </w:rPr>
            </w:r>
            <w:r w:rsidR="007D2628" w:rsidRPr="00764FD5">
              <w:rPr>
                <w:noProof/>
                <w:webHidden/>
              </w:rPr>
              <w:fldChar w:fldCharType="separate"/>
            </w:r>
            <w:r w:rsidR="007D2628" w:rsidRPr="00764FD5">
              <w:rPr>
                <w:noProof/>
                <w:webHidden/>
              </w:rPr>
              <w:t>7</w:t>
            </w:r>
            <w:r w:rsidR="007D2628" w:rsidRPr="00764FD5">
              <w:rPr>
                <w:noProof/>
                <w:webHidden/>
              </w:rPr>
              <w:fldChar w:fldCharType="end"/>
            </w:r>
          </w:hyperlink>
        </w:p>
        <w:p w14:paraId="559CB0F1" w14:textId="2A1397BB" w:rsidR="007D2628" w:rsidRPr="00764FD5" w:rsidRDefault="007D2628">
          <w:pPr>
            <w:pStyle w:val="ndice2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76" w:history="1">
            <w:r w:rsidRPr="00764FD5">
              <w:rPr>
                <w:rStyle w:val="Hiperligao"/>
                <w:rFonts w:ascii="D-DIN" w:hAnsi="D-DIN"/>
                <w:noProof/>
              </w:rPr>
              <w:t>2.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Âmbito de Aplicação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_Toc232183476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7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73CED4E" w14:textId="32EBB040" w:rsidR="007D2628" w:rsidRPr="00764FD5" w:rsidRDefault="007D2628">
          <w:pPr>
            <w:pStyle w:val="ndice2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77" w:history="1">
            <w:r w:rsidRPr="00764FD5">
              <w:rPr>
                <w:rStyle w:val="Hiperligao"/>
                <w:rFonts w:ascii="D-DIN" w:hAnsi="D-DIN"/>
                <w:noProof/>
              </w:rPr>
              <w:t>3.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Objectivos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_Toc232183477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7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768CEC8" w14:textId="10400075" w:rsidR="007D2628" w:rsidRPr="00764FD5" w:rsidRDefault="007D2628">
          <w:pPr>
            <w:pStyle w:val="ndice2"/>
            <w:tabs>
              <w:tab w:val="left" w:pos="72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78" w:history="1">
            <w:r w:rsidRPr="00764FD5">
              <w:rPr>
                <w:rStyle w:val="Hiperligao"/>
                <w:rFonts w:ascii="D-DIN" w:hAnsi="D-DIN"/>
                <w:noProof/>
              </w:rPr>
              <w:t>4.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Enquadramento legal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_Toc232183478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8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AD1BBD5" w14:textId="74B6F7C6" w:rsidR="007D2628" w:rsidRPr="00764FD5" w:rsidRDefault="007D2628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79" w:history="1">
            <w:r w:rsidRPr="00764FD5">
              <w:rPr>
                <w:rStyle w:val="Hiperligao"/>
                <w:rFonts w:ascii="D-DIN" w:hAnsi="D-DIN"/>
                <w:noProof/>
              </w:rPr>
              <w:t>5.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DEFINIÇÕES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_Toc232183479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8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2B1F8085" w14:textId="4FC4501C" w:rsidR="007D2628" w:rsidRPr="00764FD5" w:rsidRDefault="007D2628">
          <w:pPr>
            <w:pStyle w:val="ndice2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0" w:history="1">
            <w:r w:rsidRPr="00764FD5">
              <w:rPr>
                <w:rStyle w:val="Hiperligao"/>
                <w:rFonts w:ascii="D-DIN" w:hAnsi="D-DIN"/>
                <w:noProof/>
              </w:rPr>
              <w:t>5.1.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RISCOS FINANCEIROS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_Toc232183480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292333F" w14:textId="39BD7F4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1" w:history="1">
            <w:r w:rsidRPr="00764FD5">
              <w:rPr>
                <w:rStyle w:val="Hiperligao"/>
                <w:rFonts w:ascii="D-DIN" w:hAnsi="D-DIN"/>
                <w:noProof/>
              </w:rPr>
              <w:t>a)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Crédito: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_Toc232183481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DC4FC48" w14:textId="12116B09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2" w:history="1">
            <w:r w:rsidRPr="00764FD5">
              <w:rPr>
                <w:rStyle w:val="Hiperligao"/>
                <w:rFonts w:ascii="D-DIN" w:hAnsi="D-DIN"/>
                <w:noProof/>
              </w:rPr>
              <w:t>b)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Incumprimento (Default):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_Toc232183482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90F54DC" w14:textId="6719602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3" w:history="1">
            <w:r w:rsidRPr="00764FD5">
              <w:rPr>
                <w:rStyle w:val="Hiperligao"/>
                <w:rFonts w:ascii="D-DIN" w:hAnsi="D-DIN"/>
                <w:noProof/>
              </w:rPr>
              <w:t>c)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Concentração: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_Toc232183483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C375BC2" w14:textId="04C5974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4" w:history="1">
            <w:r w:rsidRPr="00764FD5">
              <w:rPr>
                <w:rStyle w:val="Hiperligao"/>
                <w:rFonts w:ascii="D-DIN" w:hAnsi="D-DIN"/>
                <w:noProof/>
              </w:rPr>
              <w:t>d)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Contraparte: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_Toc232183484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2C7E12B" w14:textId="2E519E53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5" w:history="1">
            <w:r w:rsidRPr="00764FD5">
              <w:rPr>
                <w:rStyle w:val="Hiperligao"/>
                <w:rFonts w:ascii="D-DIN" w:hAnsi="D-DIN"/>
                <w:noProof/>
              </w:rPr>
              <w:t>e)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Liquidez: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_Toc232183485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915F13C" w14:textId="314A8A9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6" w:history="1">
            <w:r w:rsidRPr="00764FD5">
              <w:rPr>
                <w:rStyle w:val="Hiperligao"/>
                <w:rFonts w:ascii="D-DIN" w:hAnsi="D-DIN"/>
                <w:noProof/>
              </w:rPr>
              <w:t>f)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Solvabilidade: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9D450A0" w14:textId="1252176B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7" w:history="1">
            <w:r w:rsidRPr="00764FD5">
              <w:rPr>
                <w:rStyle w:val="Hiperligao"/>
                <w:rFonts w:ascii="D-DIN" w:hAnsi="D-DIN"/>
                <w:noProof/>
              </w:rPr>
              <w:t>g)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Taxa de Juro: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126156A" w14:textId="5D51F4FB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8" w:history="1">
            <w:r w:rsidRPr="00764FD5">
              <w:rPr>
                <w:rStyle w:val="Hiperligao"/>
                <w:rFonts w:ascii="D-DIN" w:hAnsi="D-DIN"/>
                <w:noProof/>
              </w:rPr>
              <w:t>h)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Taxa de Câmbio: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D107720" w14:textId="4C168C0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89" w:history="1">
            <w:r w:rsidRPr="00764FD5">
              <w:rPr>
                <w:rStyle w:val="Hiperligao"/>
                <w:rFonts w:ascii="D-DIN" w:hAnsi="D-DIN"/>
                <w:noProof/>
              </w:rPr>
              <w:t>i)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noProof/>
              </w:rPr>
              <w:t>Risco de Mercado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_Toc232183489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4BB6C484" w14:textId="523FEA9B" w:rsidR="007D2628" w:rsidRPr="00764FD5" w:rsidRDefault="007D2628">
          <w:pPr>
            <w:pStyle w:val="ndice3"/>
            <w:tabs>
              <w:tab w:val="left" w:pos="120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0" w:history="1">
            <w:r w:rsidRPr="00764FD5">
              <w:rPr>
                <w:rStyle w:val="Hiperligao"/>
                <w:noProof/>
              </w:rPr>
              <w:t>5.2.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RISCOS NÃO FINANCEIROS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_Toc232183490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D9DD724" w14:textId="2DD6ED4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1" w:history="1">
            <w:r w:rsidRPr="00764FD5">
              <w:rPr>
                <w:rStyle w:val="Hiperligao"/>
                <w:rFonts w:ascii="D-DIN" w:hAnsi="D-DIN"/>
                <w:noProof/>
              </w:rPr>
              <w:t>a)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Operacional: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_Toc232183491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B535C16" w14:textId="10CBF9B8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2" w:history="1">
            <w:r w:rsidRPr="00764FD5">
              <w:rPr>
                <w:rStyle w:val="Hiperligao"/>
                <w:rFonts w:ascii="D-DIN" w:hAnsi="D-DIN"/>
                <w:noProof/>
              </w:rPr>
              <w:t>b)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Tecnológico: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_Toc232183492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9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800BA4A" w14:textId="01A9C400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3" w:history="1">
            <w:r w:rsidRPr="00764FD5">
              <w:rPr>
                <w:rStyle w:val="Hiperligao"/>
                <w:rFonts w:ascii="D-DIN" w:hAnsi="D-DIN"/>
                <w:noProof/>
              </w:rPr>
              <w:t>c)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noProof/>
              </w:rPr>
              <w:t>Risco Estratégico: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_Toc232183493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4EF7A44A" w14:textId="2F199E58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4" w:history="1">
            <w:r w:rsidRPr="00764FD5">
              <w:rPr>
                <w:rStyle w:val="Hiperligao"/>
                <w:rFonts w:ascii="D-DIN" w:hAnsi="D-DIN"/>
                <w:noProof/>
              </w:rPr>
              <w:t>d)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Reputação: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_Toc232183494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D668B05" w14:textId="13F17575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5" w:history="1">
            <w:r w:rsidRPr="00764FD5">
              <w:rPr>
                <w:rStyle w:val="Hiperligao"/>
                <w:rFonts w:ascii="D-DIN" w:hAnsi="D-DIN"/>
                <w:noProof/>
              </w:rPr>
              <w:t>e)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Conformidade (Compliance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_Toc232183495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1EFF404" w14:textId="29FC8E50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6" w:history="1">
            <w:r w:rsidRPr="00764FD5">
              <w:rPr>
                <w:rStyle w:val="Hiperligao"/>
                <w:rFonts w:ascii="D-DIN" w:hAnsi="D-DIN"/>
                <w:noProof/>
              </w:rPr>
              <w:t>f)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Legal e Regulatório: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D7115F1" w14:textId="7E9F682B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7" w:history="1">
            <w:r w:rsidRPr="00764FD5">
              <w:rPr>
                <w:rStyle w:val="Hiperligao"/>
                <w:rFonts w:ascii="D-DIN" w:hAnsi="D-DIN"/>
                <w:noProof/>
              </w:rPr>
              <w:t>g)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Branqueamento de Capitais, Financiamento do Terrorismo e da Proliferação de Armas de Destruição em Massa (BC/FT/PADM):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663AC3F" w14:textId="0563974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8" w:history="1">
            <w:r w:rsidRPr="00764FD5">
              <w:rPr>
                <w:rStyle w:val="Hiperligao"/>
                <w:rFonts w:ascii="D-DIN" w:hAnsi="D-DIN"/>
                <w:noProof/>
              </w:rPr>
              <w:t>h)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Ambiental, Social e de Governação (ESG):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48D3C3BA" w14:textId="7BF0A889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499" w:history="1">
            <w:r w:rsidRPr="00764FD5">
              <w:rPr>
                <w:rStyle w:val="Hiperligao"/>
                <w:rFonts w:ascii="D-DIN" w:hAnsi="D-DIN"/>
                <w:noProof/>
              </w:rPr>
              <w:t>i)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Continuidade de Negócio: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_Toc232183499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F08A469" w14:textId="40E81D59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0" w:history="1">
            <w:r w:rsidRPr="00764FD5">
              <w:rPr>
                <w:rStyle w:val="Hiperligao"/>
                <w:rFonts w:ascii="D-DIN" w:hAnsi="D-DIN"/>
                <w:noProof/>
              </w:rPr>
              <w:t>j)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Terceirização (Outsourcing):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_Toc232183500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9985B4A" w14:textId="4FA62467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1" w:history="1">
            <w:r w:rsidRPr="00764FD5">
              <w:rPr>
                <w:rStyle w:val="Hiperligao"/>
                <w:rFonts w:ascii="D-DIN" w:hAnsi="D-DIN"/>
                <w:noProof/>
              </w:rPr>
              <w:t>k)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Conduta: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_Toc232183501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4F2E533" w14:textId="3644D29F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2" w:history="1">
            <w:r w:rsidRPr="00764FD5">
              <w:rPr>
                <w:rStyle w:val="Hiperligao"/>
                <w:rFonts w:ascii="D-DIN" w:hAnsi="D-DIN"/>
                <w:noProof/>
              </w:rPr>
              <w:t>l)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Risco de Modelo: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_Toc232183502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10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54F9BA9" w14:textId="0234C0C0" w:rsidR="007D2628" w:rsidRPr="00764FD5" w:rsidRDefault="007D2628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3" w:history="1">
            <w:r w:rsidRPr="00764FD5">
              <w:rPr>
                <w:rStyle w:val="Hiperligao"/>
                <w:rFonts w:ascii="D-DIN" w:hAnsi="D-DIN"/>
                <w:noProof/>
              </w:rPr>
              <w:t>6.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DEFINIÇÃO DO PERFIL DE RISCO E GRAU DE TOLERÂNCIA FACE AO RISCO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_Toc232183503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11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A137CD5" w14:textId="0ED41169" w:rsidR="007D2628" w:rsidRPr="00764FD5" w:rsidRDefault="007D2628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4" w:history="1">
            <w:r w:rsidRPr="00764FD5">
              <w:rPr>
                <w:rStyle w:val="Hiperligao"/>
                <w:rFonts w:ascii="D-DIN" w:hAnsi="D-DIN"/>
                <w:noProof/>
              </w:rPr>
              <w:t>7.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PERFIL DE RISCO DA MADZ GLOBAL – SCVM, S.A.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_Toc232183504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12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8A8DA70" w14:textId="12DE7BF8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5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a)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Crédito: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_Toc232183505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12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20D0B31C" w14:textId="3A71845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6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b)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Incumprimento (Default):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1740A66" w14:textId="1D94DA6B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7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c)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Concentração: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BBF9AA2" w14:textId="7DB0D91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8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d)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Contraparte: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09C1FCD" w14:textId="01CD531F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09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e)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Liquidez: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_Toc232183509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07CF6CE" w14:textId="72E351BC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0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f)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Solvabilidade: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_Toc232183510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51515ED" w14:textId="09DF2C87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1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g)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Taxa de Juro: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_Toc232183511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4F6FDD1" w14:textId="3409407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2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h)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Taxa de Câmbio: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_Toc232183512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273F0CD" w14:textId="1BE4DCB8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3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i)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Mercado: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_Toc232183513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4E9B2F5" w14:textId="73696EE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4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j)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Operacional: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_Toc232183514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4830340" w14:textId="0C156867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5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k)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Tecnológico: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_Toc232183515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120621B" w14:textId="05F5AEC1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6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l)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Estratégico: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2604D98" w14:textId="06074CC0" w:rsidR="007D2628" w:rsidRPr="00764FD5" w:rsidRDefault="007D2628">
          <w:pPr>
            <w:pStyle w:val="ndice3"/>
            <w:tabs>
              <w:tab w:val="left" w:pos="120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7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m)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Reputação: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38DAB5E" w14:textId="73944802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8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n)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Conformidade (Compliance):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13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CF410B5" w14:textId="56329F0A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19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o)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Legal e Regulatório: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_Toc232183519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A31EE9C" w14:textId="427B93CA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0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p)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Branqueamento de Capitais, Financiamento do Terrorismo e da Proliferação de Armas de Destruição em Massa (BC/FT/PADM):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_Toc232183520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289B9E15" w14:textId="79746692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1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q)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Ambiental, Social e de Governação (ESG):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_Toc232183521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50C4313" w14:textId="06701697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2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Continuidade de Negócio: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_Toc232183522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27619A0" w14:textId="6CA68F8E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3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s)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Terceirização (Outsourcing):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_Toc232183523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37C1F45B" w14:textId="02F7A2E7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4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t)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Conduta: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_Toc232183524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26C809D2" w14:textId="061E361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5" w:history="1"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u)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AO"/>
              </w:rPr>
              <w:t>Risco de Modelo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_Toc232183525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32D910F" w14:textId="3478E09D" w:rsidR="007D2628" w:rsidRPr="00764FD5" w:rsidRDefault="007D2628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6" w:history="1">
            <w:r w:rsidRPr="00764FD5">
              <w:rPr>
                <w:rStyle w:val="Hiperligao"/>
                <w:rFonts w:ascii="D-DIN" w:hAnsi="D-DIN"/>
                <w:noProof/>
              </w:rPr>
              <w:t>8.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Aspectos gerais do sistema de gestão de risco: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622C922" w14:textId="6B85FEB8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7" w:history="1">
            <w:r w:rsidRPr="00764FD5">
              <w:rPr>
                <w:rStyle w:val="Hiperligao"/>
                <w:rFonts w:ascii="D-DIN" w:hAnsi="D-DIN"/>
                <w:noProof/>
              </w:rPr>
              <w:t>a)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Integração na Gestão de uma Cultura de Riscos: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F8B11A3" w14:textId="5935F4A8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8" w:history="1">
            <w:r w:rsidRPr="00764FD5">
              <w:rPr>
                <w:rStyle w:val="Hiperligao"/>
                <w:rFonts w:ascii="D-DIN" w:hAnsi="D-DIN"/>
                <w:noProof/>
              </w:rPr>
              <w:t>b)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Envolvimento dos Órgãos de Gestão: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14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753096D1" w14:textId="0C06804C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29" w:history="1">
            <w:r w:rsidRPr="00764FD5">
              <w:rPr>
                <w:rStyle w:val="Hiperligao"/>
                <w:rFonts w:ascii="D-DIN" w:hAnsi="D-DIN"/>
                <w:noProof/>
              </w:rPr>
              <w:t>c)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Independência da Função de Gestão de Riscos: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_Toc232183529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15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416D2C0" w14:textId="425C699B" w:rsidR="007D2628" w:rsidRPr="00764FD5" w:rsidRDefault="007D2628">
          <w:pPr>
            <w:pStyle w:val="ndice1"/>
            <w:tabs>
              <w:tab w:val="left" w:pos="48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0" w:history="1">
            <w:r w:rsidRPr="00764FD5">
              <w:rPr>
                <w:rStyle w:val="Hiperligao"/>
                <w:rFonts w:ascii="D-DIN" w:hAnsi="D-DIN"/>
                <w:noProof/>
              </w:rPr>
              <w:t>9.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Para o adequado exercício da actividade de Gestão de Risco da MADZ GLOBAL são considerados, no mínimo, os seguintes elementos: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_Toc232183530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15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5A9FEF48" w14:textId="7D953456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1" w:history="1">
            <w:r w:rsidRPr="00764FD5">
              <w:rPr>
                <w:rStyle w:val="Hiperligao"/>
                <w:rFonts w:ascii="D-DIN" w:hAnsi="D-DIN"/>
                <w:noProof/>
              </w:rPr>
              <w:t>e)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Visão Consolidada: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_Toc232183531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15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44AB8DB3" w14:textId="5631CFA5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2" w:history="1">
            <w:r w:rsidRPr="00764FD5">
              <w:rPr>
                <w:rStyle w:val="Hiperligao"/>
                <w:rFonts w:ascii="D-DIN" w:hAnsi="D-DIN"/>
                <w:noProof/>
              </w:rPr>
              <w:t>f)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Limitação de Riscos: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_Toc232183532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15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0467DF20" w14:textId="73602C7C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3" w:history="1">
            <w:r w:rsidRPr="00764FD5">
              <w:rPr>
                <w:rStyle w:val="Hiperligao"/>
                <w:rFonts w:ascii="D-DIN" w:hAnsi="D-DIN"/>
                <w:noProof/>
              </w:rPr>
              <w:t>g)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Antecipação e Previsibilidade: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_Toc232183533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16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FE792F6" w14:textId="0E36923F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4" w:history="1">
            <w:r w:rsidRPr="00764FD5">
              <w:rPr>
                <w:rStyle w:val="Hiperligao"/>
                <w:rFonts w:ascii="D-DIN" w:hAnsi="D-DIN"/>
                <w:noProof/>
              </w:rPr>
              <w:t>h)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Canais de Informação e de Reporte Eficientes: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_Toc232183534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16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1FDB406" w14:textId="1F147572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5" w:history="1">
            <w:r w:rsidRPr="00764FD5">
              <w:rPr>
                <w:rStyle w:val="Hiperligao"/>
                <w:rFonts w:ascii="D-DIN" w:hAnsi="D-DIN"/>
                <w:noProof/>
              </w:rPr>
              <w:t>i)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Cumprimento dos Requisitos Legais e Normativos: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_Toc232183535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16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4CEFF6B0" w14:textId="315D30BF" w:rsidR="007D2628" w:rsidRPr="00764FD5" w:rsidRDefault="007D2628">
          <w:pPr>
            <w:pStyle w:val="ndice3"/>
            <w:tabs>
              <w:tab w:val="left" w:pos="120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6" w:history="1">
            <w:r w:rsidRPr="00764FD5">
              <w:rPr>
                <w:rStyle w:val="Hiperligao"/>
                <w:rFonts w:ascii="D-DIN" w:hAnsi="D-DIN"/>
                <w:noProof/>
                <w:lang w:val="pt-BR"/>
              </w:rPr>
              <w:t>10.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BR"/>
              </w:rPr>
              <w:t>Incumprimento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_Toc232183536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16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2CD793BB" w14:textId="7CCBC95D" w:rsidR="007D2628" w:rsidRPr="00764FD5" w:rsidRDefault="007D2628">
          <w:pPr>
            <w:pStyle w:val="ndice3"/>
            <w:tabs>
              <w:tab w:val="left" w:pos="96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7" w:history="1">
            <w:r w:rsidRPr="00764FD5">
              <w:rPr>
                <w:rStyle w:val="Hiperligao"/>
                <w:rFonts w:ascii="D-DIN" w:hAnsi="D-DIN"/>
                <w:noProof/>
              </w:rPr>
              <w:t>11.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Interpretação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_Toc232183537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16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654B45F2" w14:textId="5962A516" w:rsidR="007D2628" w:rsidRPr="00764FD5" w:rsidRDefault="007D2628">
          <w:pPr>
            <w:pStyle w:val="ndice3"/>
            <w:tabs>
              <w:tab w:val="left" w:pos="120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8" w:history="1">
            <w:r w:rsidRPr="00764FD5">
              <w:rPr>
                <w:rStyle w:val="Hiperligao"/>
                <w:rFonts w:ascii="D-DIN" w:hAnsi="D-DIN"/>
                <w:noProof/>
              </w:rPr>
              <w:t>13.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  <w:lang w:val="pt-BR"/>
              </w:rPr>
              <w:t>Alterações e Aprovação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_Toc232183538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17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13C74D07" w14:textId="76B7EDEA" w:rsidR="007D2628" w:rsidRPr="00764FD5" w:rsidRDefault="007D2628">
          <w:pPr>
            <w:pStyle w:val="ndice3"/>
            <w:tabs>
              <w:tab w:val="left" w:pos="1200"/>
              <w:tab w:val="right" w:leader="dot" w:pos="8779"/>
            </w:tabs>
            <w:rPr>
              <w:rFonts w:eastAsiaTheme="minorEastAsia"/>
              <w:noProof/>
              <w:lang w:val="pt-AO" w:eastAsia="pt-AO"/>
            </w:rPr>
          </w:pPr>
          <w:hyperlink w:anchor="_Toc232183539" w:history="1">
            <w:r w:rsidRPr="00764FD5">
              <w:rPr>
                <w:rStyle w:val="Hiperligao"/>
                <w:rFonts w:ascii="D-DIN" w:hAnsi="D-DIN"/>
                <w:noProof/>
              </w:rPr>
              <w:t>14.</w:t>
            </w:r>
            <w:r w:rsidRPr="00764FD5">
              <w:rPr>
                <w:rFonts w:eastAsiaTheme="minorEastAsia"/>
                <w:noProof/>
                <w:lang w:val="pt-AO" w:eastAsia="pt-AO"/>
              </w:rPr>
              <w:tab/>
            </w:r>
            <w:r w:rsidRPr="00764FD5">
              <w:rPr>
                <w:rStyle w:val="Hiperligao"/>
                <w:rFonts w:ascii="D-DIN" w:hAnsi="D-DIN"/>
                <w:noProof/>
              </w:rPr>
              <w:t>Aprovação e entrada em vigor</w:t>
            </w:r>
            <w:r w:rsidRPr="00764FD5">
              <w:rPr>
                <w:noProof/>
                <w:webHidden/>
              </w:rPr>
              <w:tab/>
            </w:r>
            <w:r w:rsidRPr="00764FD5">
              <w:rPr>
                <w:noProof/>
                <w:webHidden/>
              </w:rPr>
              <w:fldChar w:fldCharType="begin"/>
            </w:r>
            <w:r w:rsidRPr="00764FD5">
              <w:rPr>
                <w:noProof/>
                <w:webHidden/>
              </w:rPr>
              <w:instrText xml:space="preserve"> PAGEREF _Toc232183539 \h </w:instrText>
            </w:r>
            <w:r w:rsidRPr="00764FD5">
              <w:rPr>
                <w:noProof/>
                <w:webHidden/>
              </w:rPr>
            </w:r>
            <w:r w:rsidRPr="00764FD5">
              <w:rPr>
                <w:noProof/>
                <w:webHidden/>
              </w:rPr>
              <w:fldChar w:fldCharType="separate"/>
            </w:r>
            <w:r w:rsidRPr="00764FD5">
              <w:rPr>
                <w:noProof/>
                <w:webHidden/>
              </w:rPr>
              <w:t>17</w:t>
            </w:r>
            <w:r w:rsidRPr="00764FD5">
              <w:rPr>
                <w:noProof/>
                <w:webHidden/>
              </w:rPr>
              <w:fldChar w:fldCharType="end"/>
            </w:r>
          </w:hyperlink>
        </w:p>
        <w:p w14:paraId="4F75C088" w14:textId="5FE2BF89" w:rsidR="00E73C33" w:rsidRPr="00764FD5" w:rsidRDefault="0051586F" w:rsidP="00724B9C">
          <w:pPr>
            <w:spacing w:line="360" w:lineRule="auto"/>
            <w:jc w:val="both"/>
            <w:rPr>
              <w:rFonts w:ascii="D-DIN" w:hAnsi="D-DIN"/>
            </w:rPr>
          </w:pPr>
          <w:r w:rsidRPr="00764FD5">
            <w:rPr>
              <w:rFonts w:ascii="D-DIN" w:hAnsi="D-DIN"/>
            </w:rPr>
            <w:fldChar w:fldCharType="end"/>
          </w:r>
        </w:p>
        <w:p w14:paraId="79E4719D" w14:textId="77777777" w:rsidR="00E73C33" w:rsidRDefault="00E73C33" w:rsidP="00724B9C">
          <w:pPr>
            <w:spacing w:line="360" w:lineRule="auto"/>
            <w:jc w:val="both"/>
            <w:rPr>
              <w:rFonts w:ascii="D-DIN" w:hAnsi="D-DIN"/>
              <w:b/>
              <w:bCs/>
            </w:rPr>
          </w:pPr>
        </w:p>
        <w:p w14:paraId="0B0F9DDD" w14:textId="77777777" w:rsidR="00E73C33" w:rsidRDefault="00E73C33" w:rsidP="00724B9C">
          <w:pPr>
            <w:spacing w:line="360" w:lineRule="auto"/>
            <w:jc w:val="both"/>
            <w:rPr>
              <w:rFonts w:ascii="D-DIN" w:hAnsi="D-DIN"/>
              <w:b/>
              <w:bCs/>
            </w:rPr>
          </w:pPr>
        </w:p>
        <w:p w14:paraId="21311A51" w14:textId="77777777" w:rsidR="00E73C33" w:rsidRDefault="00E73C33" w:rsidP="00724B9C">
          <w:pPr>
            <w:spacing w:line="360" w:lineRule="auto"/>
            <w:jc w:val="both"/>
            <w:rPr>
              <w:rFonts w:ascii="D-DIN" w:hAnsi="D-DIN"/>
              <w:b/>
              <w:bCs/>
            </w:rPr>
          </w:pPr>
        </w:p>
        <w:p w14:paraId="3AD015CD" w14:textId="65C2FDEB" w:rsidR="00724B9C" w:rsidRPr="00724B9C" w:rsidRDefault="00000000" w:rsidP="00724B9C">
          <w:pPr>
            <w:spacing w:line="360" w:lineRule="auto"/>
            <w:jc w:val="both"/>
            <w:rPr>
              <w:rFonts w:ascii="D-DIN" w:hAnsi="D-DIN"/>
            </w:rPr>
          </w:pPr>
        </w:p>
      </w:sdtContent>
    </w:sdt>
    <w:p w14:paraId="6BD9C307" w14:textId="77777777" w:rsidR="005B7209" w:rsidRDefault="005B7209">
      <w:pPr>
        <w:rPr>
          <w:rFonts w:ascii="D-DIN" w:eastAsiaTheme="majorEastAsia" w:hAnsi="D-DIN" w:cstheme="majorBidi"/>
          <w:b/>
          <w:bCs/>
          <w:sz w:val="28"/>
          <w:szCs w:val="32"/>
          <w:highlight w:val="lightGray"/>
        </w:rPr>
      </w:pPr>
      <w:r>
        <w:rPr>
          <w:rFonts w:ascii="D-DIN" w:hAnsi="D-DIN"/>
          <w:b/>
          <w:bCs/>
          <w:sz w:val="28"/>
          <w:highlight w:val="lightGray"/>
        </w:rPr>
        <w:br w:type="page"/>
      </w:r>
    </w:p>
    <w:p w14:paraId="06F4D13D" w14:textId="23C99971" w:rsidR="002C574C" w:rsidRPr="002C574C" w:rsidRDefault="002C574C" w:rsidP="002C574C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  <w:lang w:val="pt-AO"/>
        </w:rPr>
      </w:pPr>
      <w:bookmarkStart w:id="0" w:name="_Toc232183477"/>
      <w:r w:rsidRPr="002C574C">
        <w:rPr>
          <w:rFonts w:ascii="D-DIN" w:hAnsi="D-DIN"/>
          <w:b/>
          <w:bCs/>
          <w:color w:val="auto"/>
          <w:sz w:val="28"/>
          <w:szCs w:val="28"/>
        </w:rPr>
        <w:lastRenderedPageBreak/>
        <w:t>Enquadramento</w:t>
      </w:r>
    </w:p>
    <w:p w14:paraId="790BB473" w14:textId="691ABC65" w:rsidR="002C574C" w:rsidRPr="002C574C" w:rsidRDefault="002C574C" w:rsidP="002C574C">
      <w:pPr>
        <w:jc w:val="both"/>
        <w:rPr>
          <w:rFonts w:ascii="D-DIN" w:hAnsi="D-DIN"/>
        </w:rPr>
      </w:pPr>
      <w:r w:rsidRPr="002C574C">
        <w:rPr>
          <w:rFonts w:ascii="D-DIN" w:hAnsi="D-DIN"/>
        </w:rPr>
        <w:t xml:space="preserve">A </w:t>
      </w:r>
      <w:r w:rsidRPr="002C574C">
        <w:rPr>
          <w:rStyle w:val="Forte"/>
          <w:rFonts w:ascii="D-DIN" w:hAnsi="D-DIN"/>
        </w:rPr>
        <w:t>MADZ GLOBAL, S.A.</w:t>
      </w:r>
      <w:r w:rsidRPr="002C574C">
        <w:rPr>
          <w:rFonts w:ascii="D-DIN" w:hAnsi="D-DIN"/>
        </w:rPr>
        <w:t xml:space="preserve"> (doravante “MADZ GLOBAL”) institui a presente Política de Gestão de Riscos com o objetivo de estabelecer os princípios, critérios, responsabilidades e procedimentos aplicáveis à identificação, avaliação, monitorização, controlo e mitigação dos riscos inerentes à sua ativid</w:t>
      </w:r>
      <w:permStart w:id="1143883802" w:edGrp="everyone"/>
      <w:permEnd w:id="1143883802"/>
      <w:r w:rsidRPr="002C574C">
        <w:rPr>
          <w:rFonts w:ascii="D-DIN" w:hAnsi="D-DIN"/>
        </w:rPr>
        <w:t>ade.</w:t>
      </w:r>
    </w:p>
    <w:p w14:paraId="6CE40BD4" w14:textId="5398872D" w:rsidR="002C574C" w:rsidRPr="002C574C" w:rsidRDefault="002C574C" w:rsidP="002C574C">
      <w:pPr>
        <w:jc w:val="both"/>
        <w:rPr>
          <w:rFonts w:ascii="D-DIN" w:hAnsi="D-DIN"/>
        </w:rPr>
      </w:pPr>
      <w:r w:rsidRPr="002C574C">
        <w:rPr>
          <w:rFonts w:ascii="D-DIN" w:hAnsi="D-DIN"/>
        </w:rPr>
        <w:t>A presente Política visa assegurar uma gestão prudente e eficaz dos riscos, promovendo a estabilidade financeira, a proteção dos clientes, a conformidade regulatória e a continuidade das operações da Instituição.</w:t>
      </w:r>
    </w:p>
    <w:p w14:paraId="03A6BA1B" w14:textId="0CD773F3" w:rsidR="002C574C" w:rsidRPr="002C574C" w:rsidRDefault="002C574C" w:rsidP="002C574C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</w:rPr>
      </w:pPr>
      <w:r w:rsidRPr="002C574C">
        <w:rPr>
          <w:rFonts w:ascii="D-DIN" w:hAnsi="D-DIN"/>
          <w:b/>
          <w:bCs/>
          <w:color w:val="auto"/>
          <w:sz w:val="28"/>
          <w:szCs w:val="28"/>
        </w:rPr>
        <w:t>Âmbito de Aplicação</w:t>
      </w:r>
    </w:p>
    <w:p w14:paraId="2E3E5B7A" w14:textId="77777777" w:rsidR="002C574C" w:rsidRPr="002C574C" w:rsidRDefault="002C574C" w:rsidP="002C574C">
      <w:pPr>
        <w:jc w:val="both"/>
        <w:rPr>
          <w:rFonts w:ascii="D-DIN" w:hAnsi="D-DIN"/>
        </w:rPr>
      </w:pPr>
      <w:r w:rsidRPr="002C574C">
        <w:rPr>
          <w:rFonts w:ascii="D-DIN" w:hAnsi="D-DIN"/>
        </w:rPr>
        <w:t>A presente Política é aplicável a todos os órgãos sociais, colaboradores, unidades orgânicas e demais estruturas da MADZ GLOBAL, bem como a terceiros, incluindo fornecedores e prestadores de serviços, sempre que as suas atividades possam gerar, influenciar ou estar expostas a riscos relevantes para a Instituição.</w:t>
      </w:r>
    </w:p>
    <w:p w14:paraId="29481D9B" w14:textId="77777777" w:rsidR="002C574C" w:rsidRPr="002C574C" w:rsidRDefault="002C574C" w:rsidP="002C574C">
      <w:pPr>
        <w:jc w:val="both"/>
        <w:rPr>
          <w:rFonts w:ascii="D-DIN" w:hAnsi="D-DIN"/>
        </w:rPr>
      </w:pPr>
      <w:r w:rsidRPr="002C574C">
        <w:rPr>
          <w:rFonts w:ascii="D-DIN" w:hAnsi="D-DIN"/>
        </w:rPr>
        <w:t>Todos os destinatários devem conhecer, compreender e cumprir integralmente a presente Política e os seus princípios orientadores, não sendo aceite a alegação de desconhecimento como justificação para quaisquer incumprimentos.</w:t>
      </w:r>
    </w:p>
    <w:p w14:paraId="4EA48552" w14:textId="77777777" w:rsidR="002C574C" w:rsidRPr="002C574C" w:rsidRDefault="002C574C" w:rsidP="002C574C">
      <w:pPr>
        <w:jc w:val="both"/>
        <w:rPr>
          <w:rFonts w:ascii="D-DIN" w:hAnsi="D-DIN"/>
        </w:rPr>
      </w:pPr>
      <w:r w:rsidRPr="002C574C">
        <w:rPr>
          <w:rFonts w:ascii="D-DIN" w:hAnsi="D-DIN"/>
        </w:rPr>
        <w:t>A presente Política deve ser lida e interpretada em conjunto com o Regulamento Interno, o Código de Conduta, bem como com as demais políticas e procedimentos internos em vigor na MADZ GLOBAL, designadamente os relacionados com gestão de riscos, compliance, prevenção de branqueamento de capitais e governação corporativa.</w:t>
      </w:r>
    </w:p>
    <w:p w14:paraId="44B58BEF" w14:textId="320F4EB7" w:rsidR="00743BF7" w:rsidRPr="00764FD5" w:rsidRDefault="00743BF7" w:rsidP="00764FD5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</w:rPr>
      </w:pPr>
      <w:r w:rsidRPr="00764FD5">
        <w:rPr>
          <w:rStyle w:val="Ttulo2Carter"/>
          <w:rFonts w:ascii="D-DIN" w:hAnsi="D-DIN"/>
          <w:b/>
          <w:bCs/>
          <w:color w:val="auto"/>
          <w:sz w:val="28"/>
          <w:szCs w:val="28"/>
        </w:rPr>
        <w:t>Objectivos</w:t>
      </w:r>
      <w:bookmarkEnd w:id="0"/>
    </w:p>
    <w:p w14:paraId="03C622B4" w14:textId="74D7C0A9" w:rsidR="00743BF7" w:rsidRPr="00724B9C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A presente política tem como objectivo fundamental, assegurar que, no âmbito da sua actividade, a </w:t>
      </w:r>
      <w:r w:rsidR="00C12558">
        <w:rPr>
          <w:rFonts w:ascii="D-DIN" w:hAnsi="D-DIN"/>
        </w:rPr>
        <w:t>Madz Global</w:t>
      </w:r>
      <w:r w:rsidRPr="00724B9C">
        <w:rPr>
          <w:rFonts w:ascii="D-DIN" w:hAnsi="D-DIN"/>
        </w:rPr>
        <w:t xml:space="preserve"> actue em estrita conformidade com as leis vigentes, os regulamentos aplicáveis, as normas da CMC e os normativos internos, bem como reforçar o imperativo de observância dos princípios estruturais de ética, integridade, transparência e conduta profissional, alinhadas com as melhores práticas Nacionais e Internacionais.</w:t>
      </w:r>
    </w:p>
    <w:p w14:paraId="7635A991" w14:textId="15F28A56" w:rsidR="00743BF7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Compete à função de </w:t>
      </w:r>
      <w:r w:rsidR="00100948" w:rsidRPr="00724B9C">
        <w:rPr>
          <w:rFonts w:ascii="D-DIN" w:hAnsi="D-DIN"/>
        </w:rPr>
        <w:t>Compliance</w:t>
      </w:r>
      <w:r w:rsidRPr="00724B9C">
        <w:rPr>
          <w:rFonts w:ascii="D-DIN" w:hAnsi="D-DIN"/>
        </w:rPr>
        <w:t xml:space="preserve"> proceder à gestão dos riscos legais, regulamentares, éticos e de conduta, garantindo que a actuação da empresa se encontre devidamente alinhada com o enquadramento legal e regulamentar do mercado de valores mobiliários, contribuindo para a protecção dos investidores, para a mitigação de riscos de incumprimento e para o reforço da confiança no mercado.</w:t>
      </w:r>
    </w:p>
    <w:p w14:paraId="210F0F01" w14:textId="77777777" w:rsidR="00633561" w:rsidRDefault="00633561" w:rsidP="00724B9C">
      <w:pPr>
        <w:spacing w:line="360" w:lineRule="auto"/>
        <w:jc w:val="both"/>
        <w:rPr>
          <w:rFonts w:ascii="D-DIN" w:hAnsi="D-DIN"/>
        </w:rPr>
      </w:pPr>
    </w:p>
    <w:p w14:paraId="1F0CD693" w14:textId="77777777" w:rsidR="00633561" w:rsidRPr="00724B9C" w:rsidRDefault="00633561" w:rsidP="00724B9C">
      <w:pPr>
        <w:spacing w:line="360" w:lineRule="auto"/>
        <w:jc w:val="both"/>
        <w:rPr>
          <w:rFonts w:ascii="D-DIN" w:hAnsi="D-DIN"/>
        </w:rPr>
      </w:pPr>
    </w:p>
    <w:p w14:paraId="26C7CF0E" w14:textId="7ACEBF9D" w:rsidR="00743BF7" w:rsidRPr="00C61913" w:rsidRDefault="00743BF7" w:rsidP="00764FD5">
      <w:pPr>
        <w:pStyle w:val="Ttulo2"/>
        <w:numPr>
          <w:ilvl w:val="0"/>
          <w:numId w:val="29"/>
        </w:numPr>
        <w:spacing w:line="360" w:lineRule="auto"/>
        <w:jc w:val="both"/>
        <w:rPr>
          <w:rFonts w:ascii="D-DIN" w:hAnsi="D-DIN"/>
          <w:b/>
          <w:bCs/>
          <w:color w:val="auto"/>
          <w:sz w:val="28"/>
        </w:rPr>
      </w:pPr>
      <w:bookmarkStart w:id="1" w:name="_Toc232183478"/>
      <w:r w:rsidRPr="00C61913">
        <w:rPr>
          <w:rFonts w:ascii="D-DIN" w:hAnsi="D-DIN"/>
          <w:b/>
          <w:bCs/>
          <w:color w:val="auto"/>
          <w:sz w:val="28"/>
        </w:rPr>
        <w:lastRenderedPageBreak/>
        <w:t>Enquadramento legal</w:t>
      </w:r>
      <w:bookmarkEnd w:id="1"/>
    </w:p>
    <w:p w14:paraId="0B099563" w14:textId="5019278C" w:rsidR="00743BF7" w:rsidRPr="00724B9C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Ao longo do documento são referenciados documentos internos e externos que complementam os princípios da política em causa. Por conseguinte, e para melhor compreensão das temáticas desenvolvidas, deve ser considerada a leitura dos seguintes documentos:</w:t>
      </w:r>
    </w:p>
    <w:tbl>
      <w:tblPr>
        <w:tblStyle w:val="TabelacomGrelh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277"/>
        <w:gridCol w:w="5244"/>
        <w:gridCol w:w="3119"/>
      </w:tblGrid>
      <w:tr w:rsidR="00743BF7" w:rsidRPr="00724B9C" w14:paraId="034B9173" w14:textId="77777777" w:rsidTr="00BB1495">
        <w:tc>
          <w:tcPr>
            <w:tcW w:w="1277" w:type="dxa"/>
            <w:shd w:val="clear" w:color="auto" w:fill="A5C9EB"/>
          </w:tcPr>
          <w:p w14:paraId="5BA87D3A" w14:textId="77777777" w:rsidR="00743BF7" w:rsidRPr="00724B9C" w:rsidRDefault="00743BF7" w:rsidP="00724B9C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Âmbito</w:t>
            </w:r>
          </w:p>
        </w:tc>
        <w:tc>
          <w:tcPr>
            <w:tcW w:w="5244" w:type="dxa"/>
            <w:shd w:val="clear" w:color="auto" w:fill="A5C9EB"/>
          </w:tcPr>
          <w:p w14:paraId="69D9007F" w14:textId="77777777" w:rsidR="00743BF7" w:rsidRPr="00724B9C" w:rsidRDefault="00743BF7" w:rsidP="00724B9C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Título do documento</w:t>
            </w:r>
          </w:p>
        </w:tc>
        <w:tc>
          <w:tcPr>
            <w:tcW w:w="3119" w:type="dxa"/>
            <w:shd w:val="clear" w:color="auto" w:fill="A5C9EB"/>
          </w:tcPr>
          <w:p w14:paraId="44F4ED97" w14:textId="77777777" w:rsidR="00743BF7" w:rsidRPr="00724B9C" w:rsidRDefault="00743BF7" w:rsidP="00724B9C">
            <w:pPr>
              <w:spacing w:after="160"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Nº do Normativo</w:t>
            </w:r>
          </w:p>
        </w:tc>
      </w:tr>
      <w:tr w:rsidR="00743BF7" w:rsidRPr="00724B9C" w14:paraId="754D604E" w14:textId="77777777" w:rsidTr="00BB1495">
        <w:tc>
          <w:tcPr>
            <w:tcW w:w="1277" w:type="dxa"/>
            <w:vMerge w:val="restart"/>
            <w:vAlign w:val="center"/>
          </w:tcPr>
          <w:p w14:paraId="0517A938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Internos</w:t>
            </w:r>
          </w:p>
        </w:tc>
        <w:tc>
          <w:tcPr>
            <w:tcW w:w="5244" w:type="dxa"/>
            <w:vAlign w:val="center"/>
          </w:tcPr>
          <w:p w14:paraId="77C384E9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Estatutos da Empresa</w:t>
            </w:r>
          </w:p>
        </w:tc>
        <w:tc>
          <w:tcPr>
            <w:tcW w:w="3119" w:type="dxa"/>
            <w:vAlign w:val="center"/>
          </w:tcPr>
          <w:p w14:paraId="22CEDEFD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N/A</w:t>
            </w:r>
          </w:p>
        </w:tc>
      </w:tr>
      <w:tr w:rsidR="00743BF7" w:rsidRPr="00724B9C" w14:paraId="5EE9E41A" w14:textId="77777777" w:rsidTr="00BB1495">
        <w:tc>
          <w:tcPr>
            <w:tcW w:w="1277" w:type="dxa"/>
            <w:vMerge/>
          </w:tcPr>
          <w:p w14:paraId="34748CB8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76473666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 xml:space="preserve">Código de Conduta </w:t>
            </w:r>
          </w:p>
        </w:tc>
        <w:tc>
          <w:tcPr>
            <w:tcW w:w="3119" w:type="dxa"/>
            <w:vAlign w:val="center"/>
          </w:tcPr>
          <w:p w14:paraId="24FED2CE" w14:textId="2434C763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POL-</w:t>
            </w:r>
            <w:r w:rsidR="00F20616">
              <w:rPr>
                <w:rFonts w:ascii="D-DIN" w:hAnsi="D-DIN"/>
                <w:sz w:val="24"/>
                <w:szCs w:val="24"/>
              </w:rPr>
              <w:t>CC-GCR-MADZ/2026</w:t>
            </w:r>
          </w:p>
        </w:tc>
      </w:tr>
      <w:tr w:rsidR="00743BF7" w:rsidRPr="00724B9C" w14:paraId="183CDA63" w14:textId="77777777" w:rsidTr="00BB1495">
        <w:tc>
          <w:tcPr>
            <w:tcW w:w="1277" w:type="dxa"/>
            <w:vMerge/>
          </w:tcPr>
          <w:p w14:paraId="4DE0AD49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3F649C51" w14:textId="77777777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Política de PBC/FT/PADM</w:t>
            </w:r>
          </w:p>
        </w:tc>
        <w:tc>
          <w:tcPr>
            <w:tcW w:w="3119" w:type="dxa"/>
            <w:vAlign w:val="center"/>
          </w:tcPr>
          <w:p w14:paraId="11CD9E41" w14:textId="72C84593" w:rsidR="00743BF7" w:rsidRPr="00724B9C" w:rsidRDefault="00743BF7" w:rsidP="00633F5C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POL-</w:t>
            </w:r>
            <w:r w:rsidR="00F20616">
              <w:rPr>
                <w:rFonts w:ascii="D-DIN" w:hAnsi="D-DIN"/>
                <w:sz w:val="24"/>
                <w:szCs w:val="24"/>
              </w:rPr>
              <w:t>PCBCFTPADM-GCR-MADZ-2026</w:t>
            </w:r>
          </w:p>
        </w:tc>
      </w:tr>
      <w:tr w:rsidR="00633561" w:rsidRPr="00724B9C" w14:paraId="1E920D96" w14:textId="77777777" w:rsidTr="00BB1495">
        <w:trPr>
          <w:trHeight w:val="386"/>
        </w:trPr>
        <w:tc>
          <w:tcPr>
            <w:tcW w:w="1277" w:type="dxa"/>
            <w:vMerge w:val="restart"/>
            <w:vAlign w:val="center"/>
          </w:tcPr>
          <w:p w14:paraId="7192D956" w14:textId="77777777" w:rsidR="00633561" w:rsidRPr="00724B9C" w:rsidRDefault="00633561" w:rsidP="00633561">
            <w:pPr>
              <w:spacing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724B9C">
              <w:rPr>
                <w:rFonts w:ascii="D-DIN" w:hAnsi="D-DIN"/>
                <w:b/>
                <w:bCs/>
                <w:sz w:val="24"/>
                <w:szCs w:val="24"/>
              </w:rPr>
              <w:t>Externos</w:t>
            </w:r>
          </w:p>
        </w:tc>
        <w:tc>
          <w:tcPr>
            <w:tcW w:w="5244" w:type="dxa"/>
            <w:vAlign w:val="center"/>
          </w:tcPr>
          <w:p w14:paraId="29A89C20" w14:textId="4D1D81BA" w:rsidR="00633561" w:rsidRPr="00724B9C" w:rsidRDefault="00633561" w:rsidP="00633561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Regime Geral das Instituições</w:t>
            </w:r>
          </w:p>
        </w:tc>
        <w:tc>
          <w:tcPr>
            <w:tcW w:w="3119" w:type="dxa"/>
            <w:vAlign w:val="center"/>
          </w:tcPr>
          <w:p w14:paraId="447A300C" w14:textId="000698F6" w:rsidR="00633561" w:rsidRPr="00724B9C" w:rsidRDefault="00633561" w:rsidP="00633561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724B9C">
              <w:rPr>
                <w:rFonts w:ascii="D-DIN" w:hAnsi="D-DIN"/>
                <w:sz w:val="24"/>
                <w:szCs w:val="24"/>
              </w:rPr>
              <w:t>Lei n.º 14/2021, de 19 de maio</w:t>
            </w:r>
          </w:p>
        </w:tc>
      </w:tr>
      <w:tr w:rsidR="00633561" w:rsidRPr="00724B9C" w14:paraId="0A2633E7" w14:textId="77777777" w:rsidTr="00BB1495">
        <w:trPr>
          <w:trHeight w:val="350"/>
        </w:trPr>
        <w:tc>
          <w:tcPr>
            <w:tcW w:w="1277" w:type="dxa"/>
            <w:vMerge/>
            <w:vAlign w:val="center"/>
          </w:tcPr>
          <w:p w14:paraId="641FE312" w14:textId="77777777" w:rsidR="00633561" w:rsidRPr="00724B9C" w:rsidRDefault="00633561" w:rsidP="00633561">
            <w:pPr>
              <w:spacing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3657107E" w14:textId="52C0F5BE" w:rsidR="00633561" w:rsidRPr="00724B9C" w:rsidRDefault="00633561" w:rsidP="00633561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633561">
              <w:rPr>
                <w:rFonts w:ascii="D-DIN" w:hAnsi="D-DIN"/>
                <w:sz w:val="24"/>
                <w:szCs w:val="24"/>
              </w:rPr>
              <w:t>Comissão do Mercado de Capitais</w:t>
            </w:r>
            <w:r>
              <w:rPr>
                <w:rFonts w:ascii="D-DIN" w:hAnsi="D-DIN"/>
                <w:sz w:val="24"/>
                <w:szCs w:val="24"/>
              </w:rPr>
              <w:t xml:space="preserve"> - </w:t>
            </w:r>
            <w:r w:rsidRPr="00633561">
              <w:rPr>
                <w:rFonts w:ascii="D-DIN" w:hAnsi="D-DIN"/>
                <w:sz w:val="24"/>
                <w:szCs w:val="24"/>
              </w:rPr>
              <w:t>Agentes de Intermediação e Serviços de Investimento</w:t>
            </w:r>
          </w:p>
        </w:tc>
        <w:tc>
          <w:tcPr>
            <w:tcW w:w="3119" w:type="dxa"/>
            <w:vAlign w:val="center"/>
          </w:tcPr>
          <w:p w14:paraId="45207B47" w14:textId="2D6CFBAD" w:rsidR="00633561" w:rsidRPr="00724B9C" w:rsidRDefault="00633561" w:rsidP="00633561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633561">
              <w:rPr>
                <w:rFonts w:ascii="D-DIN" w:hAnsi="D-DIN"/>
                <w:sz w:val="24"/>
                <w:szCs w:val="24"/>
              </w:rPr>
              <w:t xml:space="preserve">Regulamento n.º 2/25, de 24 de </w:t>
            </w:r>
            <w:r w:rsidR="00AE1F92" w:rsidRPr="00633561">
              <w:rPr>
                <w:rFonts w:ascii="D-DIN" w:hAnsi="D-DIN"/>
                <w:sz w:val="24"/>
                <w:szCs w:val="24"/>
              </w:rPr>
              <w:t>junho</w:t>
            </w:r>
          </w:p>
        </w:tc>
      </w:tr>
      <w:tr w:rsidR="002C0D1B" w:rsidRPr="00724B9C" w14:paraId="5DAB477D" w14:textId="77777777" w:rsidTr="00BB1495">
        <w:trPr>
          <w:trHeight w:val="823"/>
        </w:trPr>
        <w:tc>
          <w:tcPr>
            <w:tcW w:w="1277" w:type="dxa"/>
            <w:vMerge/>
            <w:vAlign w:val="center"/>
          </w:tcPr>
          <w:p w14:paraId="76A1E7FA" w14:textId="77777777" w:rsidR="002C0D1B" w:rsidRPr="00724B9C" w:rsidRDefault="002C0D1B" w:rsidP="002C0D1B">
            <w:pPr>
              <w:spacing w:line="360" w:lineRule="auto"/>
              <w:jc w:val="both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vAlign w:val="center"/>
          </w:tcPr>
          <w:p w14:paraId="3C4D5177" w14:textId="407BDBAD" w:rsidR="002C0D1B" w:rsidRPr="00724B9C" w:rsidRDefault="002C0D1B" w:rsidP="002C0D1B">
            <w:pPr>
              <w:widowControl w:val="0"/>
              <w:tabs>
                <w:tab w:val="left" w:pos="1026"/>
                <w:tab w:val="left" w:pos="1028"/>
              </w:tabs>
              <w:autoSpaceDE w:val="0"/>
              <w:autoSpaceDN w:val="0"/>
              <w:spacing w:line="276" w:lineRule="auto"/>
              <w:ind w:right="587"/>
              <w:rPr>
                <w:rFonts w:ascii="D-DIN" w:hAnsi="D-DIN"/>
                <w:sz w:val="24"/>
                <w:szCs w:val="24"/>
              </w:rPr>
            </w:pPr>
            <w:r w:rsidRPr="002C0D1B">
              <w:rPr>
                <w:rFonts w:ascii="D-DIN" w:hAnsi="D-DIN"/>
                <w:sz w:val="24"/>
                <w:szCs w:val="24"/>
              </w:rPr>
              <w:t>Rácio</w:t>
            </w:r>
            <w:r w:rsidRPr="002C0D1B">
              <w:rPr>
                <w:rFonts w:ascii="D-DIN" w:hAnsi="D-DIN"/>
                <w:spacing w:val="80"/>
                <w:sz w:val="24"/>
                <w:szCs w:val="24"/>
              </w:rPr>
              <w:t xml:space="preserve"> </w:t>
            </w:r>
            <w:r w:rsidRPr="002C0D1B">
              <w:rPr>
                <w:rFonts w:ascii="D-DIN" w:hAnsi="D-DIN"/>
                <w:sz w:val="24"/>
                <w:szCs w:val="24"/>
              </w:rPr>
              <w:t>de</w:t>
            </w:r>
            <w:r w:rsidRPr="002C0D1B">
              <w:rPr>
                <w:rFonts w:ascii="D-DIN" w:hAnsi="D-DIN"/>
                <w:spacing w:val="80"/>
                <w:sz w:val="24"/>
                <w:szCs w:val="24"/>
              </w:rPr>
              <w:t xml:space="preserve"> </w:t>
            </w:r>
            <w:r w:rsidRPr="002C0D1B">
              <w:rPr>
                <w:rFonts w:ascii="D-DIN" w:hAnsi="D-DIN"/>
                <w:sz w:val="24"/>
                <w:szCs w:val="24"/>
              </w:rPr>
              <w:t>Solvabilidade</w:t>
            </w:r>
            <w:r w:rsidRPr="002C0D1B">
              <w:rPr>
                <w:rFonts w:ascii="D-DIN" w:hAnsi="D-DIN"/>
                <w:spacing w:val="80"/>
                <w:sz w:val="24"/>
                <w:szCs w:val="24"/>
              </w:rPr>
              <w:t xml:space="preserve"> </w:t>
            </w:r>
            <w:r w:rsidRPr="002C0D1B">
              <w:rPr>
                <w:rFonts w:ascii="D-DIN" w:hAnsi="D-DIN"/>
                <w:sz w:val="24"/>
                <w:szCs w:val="24"/>
              </w:rPr>
              <w:t>das</w:t>
            </w:r>
            <w:r w:rsidRPr="002C0D1B">
              <w:rPr>
                <w:rFonts w:ascii="D-DIN" w:hAnsi="D-DIN"/>
                <w:spacing w:val="80"/>
                <w:sz w:val="24"/>
                <w:szCs w:val="24"/>
              </w:rPr>
              <w:t xml:space="preserve"> </w:t>
            </w:r>
            <w:r w:rsidRPr="002C0D1B">
              <w:rPr>
                <w:rFonts w:ascii="D-DIN" w:hAnsi="D-DIN"/>
                <w:sz w:val="24"/>
                <w:szCs w:val="24"/>
              </w:rPr>
              <w:t>Instituições Financeiras não Bancárias;</w:t>
            </w:r>
          </w:p>
        </w:tc>
        <w:tc>
          <w:tcPr>
            <w:tcW w:w="3119" w:type="dxa"/>
            <w:vAlign w:val="center"/>
          </w:tcPr>
          <w:p w14:paraId="7D3B0E94" w14:textId="0857835F" w:rsidR="002C0D1B" w:rsidRPr="00724B9C" w:rsidRDefault="002C0D1B" w:rsidP="002C0D1B">
            <w:pPr>
              <w:spacing w:line="360" w:lineRule="auto"/>
              <w:jc w:val="both"/>
              <w:rPr>
                <w:rFonts w:ascii="D-DIN" w:hAnsi="D-DIN"/>
                <w:sz w:val="24"/>
                <w:szCs w:val="24"/>
              </w:rPr>
            </w:pPr>
            <w:r>
              <w:t>Instrução</w:t>
            </w:r>
            <w:r>
              <w:rPr>
                <w:spacing w:val="80"/>
              </w:rPr>
              <w:t xml:space="preserve"> </w:t>
            </w:r>
            <w:r>
              <w:t>n.º</w:t>
            </w:r>
            <w:r>
              <w:rPr>
                <w:spacing w:val="80"/>
              </w:rPr>
              <w:t xml:space="preserve"> </w:t>
            </w:r>
            <w:r>
              <w:t>07/CMC/08-16</w:t>
            </w:r>
          </w:p>
        </w:tc>
      </w:tr>
    </w:tbl>
    <w:p w14:paraId="5A04E5D4" w14:textId="77777777" w:rsidR="00633561" w:rsidRDefault="00633561" w:rsidP="00E73C33">
      <w:pPr>
        <w:pStyle w:val="Ttulo2"/>
      </w:pPr>
    </w:p>
    <w:p w14:paraId="6D7ED949" w14:textId="2185617B" w:rsidR="00142746" w:rsidRPr="006B7870" w:rsidRDefault="00142746" w:rsidP="002C574C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2" w:name="_Toc232183479"/>
      <w:r w:rsidRPr="006B7870">
        <w:rPr>
          <w:rFonts w:ascii="D-DIN" w:hAnsi="D-DIN"/>
          <w:b/>
          <w:bCs/>
          <w:color w:val="auto"/>
          <w:sz w:val="28"/>
          <w:szCs w:val="28"/>
        </w:rPr>
        <w:t>DEFINIÇÕES</w:t>
      </w:r>
      <w:bookmarkEnd w:id="2"/>
    </w:p>
    <w:p w14:paraId="77C81AB0" w14:textId="77777777" w:rsidR="00AE1F92" w:rsidRDefault="00142746" w:rsidP="00142746">
      <w:pPr>
        <w:spacing w:line="360" w:lineRule="auto"/>
        <w:jc w:val="both"/>
        <w:rPr>
          <w:rFonts w:ascii="D-DIN" w:hAnsi="D-DIN"/>
        </w:rPr>
      </w:pPr>
      <w:r w:rsidRPr="00390ECD">
        <w:rPr>
          <w:rFonts w:ascii="D-DIN" w:hAnsi="D-DIN"/>
        </w:rPr>
        <w:t>Para efeitos do presente documento, entende</w:t>
      </w:r>
      <w:r w:rsidR="00AE1F92">
        <w:rPr>
          <w:rFonts w:ascii="D-DIN" w:hAnsi="D-DIN"/>
        </w:rPr>
        <w:t xml:space="preserve"> que:</w:t>
      </w:r>
    </w:p>
    <w:p w14:paraId="061C8019" w14:textId="24B7251B" w:rsidR="00AE1F92" w:rsidRPr="00AE1F92" w:rsidRDefault="00AE1F92" w:rsidP="00AE1F92">
      <w:pPr>
        <w:jc w:val="both"/>
        <w:rPr>
          <w:lang w:val="pt-AO"/>
        </w:rPr>
      </w:pPr>
      <w:r w:rsidRPr="00AE1F92">
        <w:rPr>
          <w:rStyle w:val="Forte"/>
          <w:rFonts w:ascii="D-DIN" w:hAnsi="D-DIN"/>
        </w:rPr>
        <w:t>Risco</w:t>
      </w:r>
      <w:r w:rsidRPr="00AE1F92">
        <w:t xml:space="preserve"> é a possibilidade de ocorrência de um evento interno ou externo que possa afetar negativamente os resultados, o capital, a liquidez, as operações, a reputação ou os objetivos estratégicos da MADZ GLOBAL</w:t>
      </w:r>
      <w:r w:rsidR="005C2543">
        <w:t>.</w:t>
      </w:r>
    </w:p>
    <w:p w14:paraId="0E6AE12E" w14:textId="77777777" w:rsidR="00AE1F92" w:rsidRPr="00AE1F92" w:rsidRDefault="00AE1F92" w:rsidP="00AE1F92">
      <w:pPr>
        <w:jc w:val="both"/>
      </w:pPr>
      <w:r w:rsidRPr="00AE1F92">
        <w:t xml:space="preserve">Para efeitos da presente Política, os riscos a que a MADZ GLOBAL está exposta subdividem-se em </w:t>
      </w:r>
      <w:r w:rsidRPr="00AE1F92">
        <w:rPr>
          <w:rStyle w:val="Forte"/>
          <w:rFonts w:ascii="D-DIN" w:hAnsi="D-DIN"/>
        </w:rPr>
        <w:t>Riscos Financeiros</w:t>
      </w:r>
      <w:r w:rsidRPr="00AE1F92">
        <w:t xml:space="preserve"> e </w:t>
      </w:r>
      <w:r w:rsidRPr="00AE1F92">
        <w:rPr>
          <w:rStyle w:val="Forte"/>
          <w:rFonts w:ascii="D-DIN" w:hAnsi="D-DIN"/>
        </w:rPr>
        <w:t>Riscos Não Financeiros</w:t>
      </w:r>
      <w:r w:rsidRPr="00AE1F92">
        <w:t>.</w:t>
      </w:r>
    </w:p>
    <w:p w14:paraId="354D47A0" w14:textId="4D26268E" w:rsidR="00AE1F92" w:rsidRPr="00AE1F92" w:rsidRDefault="00AE1F92" w:rsidP="00AE1F92">
      <w:pPr>
        <w:jc w:val="both"/>
      </w:pPr>
      <w:r w:rsidRPr="00AE1F92">
        <w:rPr>
          <w:rStyle w:val="Forte"/>
          <w:rFonts w:ascii="D-DIN" w:hAnsi="D-DIN"/>
        </w:rPr>
        <w:t>Riscos Financeiros</w:t>
      </w:r>
      <w:r w:rsidRPr="00AE1F92">
        <w:t xml:space="preserve"> compreendem os riscos diretamente relacionados com a gestão dos ativos, passivos, capital, liquidez e exposições financeiras da Instituição</w:t>
      </w:r>
      <w:r w:rsidR="005C2543">
        <w:t>.</w:t>
      </w:r>
    </w:p>
    <w:p w14:paraId="69421324" w14:textId="77777777" w:rsidR="005C2543" w:rsidRDefault="00AE1F92" w:rsidP="005C2543">
      <w:pPr>
        <w:jc w:val="both"/>
      </w:pPr>
      <w:r w:rsidRPr="00AE1F92">
        <w:rPr>
          <w:rStyle w:val="Forte"/>
          <w:rFonts w:ascii="D-DIN" w:hAnsi="D-DIN"/>
        </w:rPr>
        <w:t>Riscos Não Financeiros</w:t>
      </w:r>
      <w:r w:rsidRPr="00AE1F92">
        <w:t xml:space="preserve"> compreendem os riscos decorrentes de falhas de processos, pessoas, sistemas, tecnologia, conformidade, reputação, fatores ambientais, sociais e de governação, bem como de decisões estratégicas</w:t>
      </w:r>
      <w:r w:rsidR="005C2543">
        <w:t>.</w:t>
      </w:r>
    </w:p>
    <w:p w14:paraId="2B7162C2" w14:textId="40620288" w:rsidR="000D0E73" w:rsidRPr="00764FD5" w:rsidRDefault="005C2543" w:rsidP="00764FD5">
      <w:pPr>
        <w:pStyle w:val="PargrafodaLista"/>
        <w:numPr>
          <w:ilvl w:val="1"/>
          <w:numId w:val="29"/>
        </w:numPr>
      </w:pPr>
      <w:r>
        <w:br w:type="page"/>
      </w:r>
      <w:bookmarkStart w:id="3" w:name="_Toc232183480"/>
      <w:r w:rsidR="000D0E73" w:rsidRPr="00764FD5">
        <w:rPr>
          <w:rStyle w:val="Forte"/>
          <w:rFonts w:ascii="D-DIN" w:hAnsi="D-DIN"/>
        </w:rPr>
        <w:lastRenderedPageBreak/>
        <w:t>RISCOS</w:t>
      </w:r>
      <w:r w:rsidR="000D0E73" w:rsidRPr="00764FD5">
        <w:rPr>
          <w:rStyle w:val="Forte"/>
          <w:rFonts w:ascii="D-DIN" w:hAnsi="D-DIN"/>
          <w:sz w:val="28"/>
          <w:szCs w:val="28"/>
        </w:rPr>
        <w:t xml:space="preserve"> FINANCEIROS</w:t>
      </w:r>
      <w:bookmarkEnd w:id="3"/>
    </w:p>
    <w:p w14:paraId="37E67EE6" w14:textId="27555771" w:rsidR="000D0E73" w:rsidRPr="006B7870" w:rsidRDefault="000D0E73" w:rsidP="006B7870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4" w:name="_Toc232183481"/>
      <w:r w:rsidRPr="006B7870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Crédito:</w:t>
      </w:r>
      <w:bookmarkEnd w:id="4"/>
      <w:r w:rsidRPr="006B7870">
        <w:rPr>
          <w:rFonts w:ascii="D-DIN" w:hAnsi="D-DIN"/>
          <w:sz w:val="22"/>
          <w:szCs w:val="22"/>
        </w:rPr>
        <w:t xml:space="preserve"> </w:t>
      </w:r>
      <w:r w:rsidRPr="006B7870">
        <w:rPr>
          <w:rFonts w:ascii="D-DIN" w:hAnsi="D-DIN"/>
        </w:rPr>
        <w:t>risco de ocorrência de perdas financeiras decorrentes da incapacidade ou falta de vontade de uma contraparte cumprir integralmente as suas obrigações financeiras perante a MADZ GLOBAL – SCVM, S.A., nos termos acordados.</w:t>
      </w:r>
    </w:p>
    <w:p w14:paraId="7142652D" w14:textId="77777777" w:rsidR="006B7870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5" w:name="_Toc232183482"/>
      <w:r w:rsidRPr="006B7870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Incumprimento (Default):</w:t>
      </w:r>
      <w:bookmarkEnd w:id="5"/>
      <w:r w:rsidRPr="006B7870">
        <w:rPr>
          <w:rFonts w:ascii="D-DIN" w:hAnsi="D-DIN"/>
          <w:sz w:val="22"/>
          <w:szCs w:val="22"/>
        </w:rPr>
        <w:t xml:space="preserve"> </w:t>
      </w:r>
      <w:r w:rsidRPr="006B7870">
        <w:rPr>
          <w:rFonts w:ascii="D-DIN" w:hAnsi="D-DIN"/>
        </w:rPr>
        <w:t>risco de perdas resultantes do incumprimento total ou parcial das obrigações de pagamento por parte de emitentes, contrapartes ou outras entidades com as quais a MADZ GLOBAL mantenha exposições financeiras.</w:t>
      </w:r>
    </w:p>
    <w:p w14:paraId="453225EA" w14:textId="77777777" w:rsidR="006B7870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6" w:name="_Toc232183483"/>
      <w:r w:rsidRPr="006B7870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Concentração</w:t>
      </w:r>
      <w:r w:rsidRPr="006B7870">
        <w:rPr>
          <w:rStyle w:val="Ttulo3Carter"/>
          <w:rFonts w:ascii="D-DIN" w:hAnsi="D-DIN"/>
          <w:b/>
          <w:bCs/>
          <w:color w:val="auto"/>
        </w:rPr>
        <w:t>:</w:t>
      </w:r>
      <w:bookmarkEnd w:id="6"/>
      <w:r w:rsidRPr="006B7870">
        <w:rPr>
          <w:rFonts w:ascii="D-DIN" w:hAnsi="D-DIN"/>
        </w:rPr>
        <w:t xml:space="preserve"> risco decorrente da exposição excessiva da MADZ GLOBAL a uma única contraparte, grupo económico, setor de atividade, região geográfica, instrumento financeiro ou classe de ativos, suscetível de gerar perdas significativas.</w:t>
      </w:r>
    </w:p>
    <w:p w14:paraId="307BD1AB" w14:textId="77777777" w:rsidR="008C20C3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7" w:name="_Toc232183484"/>
      <w:r w:rsidRPr="006B7870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Contraparte:</w:t>
      </w:r>
      <w:bookmarkEnd w:id="7"/>
      <w:r w:rsidRPr="006B7870">
        <w:rPr>
          <w:rFonts w:ascii="D-DIN" w:hAnsi="D-DIN"/>
          <w:sz w:val="22"/>
          <w:szCs w:val="22"/>
        </w:rPr>
        <w:t xml:space="preserve"> </w:t>
      </w:r>
      <w:r w:rsidRPr="006B7870">
        <w:rPr>
          <w:rFonts w:ascii="D-DIN" w:hAnsi="D-DIN"/>
        </w:rPr>
        <w:t>risco de perdas financeiras resultantes do incumprimento das obrigações assumidas por uma contraparte antes da liquidação final de uma operação financeira ou de mercado realizada pela MADZ GLOBAL.</w:t>
      </w:r>
    </w:p>
    <w:p w14:paraId="37BDEBB6" w14:textId="77777777" w:rsidR="008C20C3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8" w:name="_Toc232183485"/>
      <w:r w:rsidRPr="008C20C3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Liquidez:</w:t>
      </w:r>
      <w:bookmarkEnd w:id="8"/>
      <w:r w:rsidRPr="008C20C3">
        <w:rPr>
          <w:rFonts w:ascii="D-DIN" w:hAnsi="D-DIN"/>
        </w:rPr>
        <w:t xml:space="preserve"> risco de a MADZ GLOBAL não conseguir cumprir atempadamente as suas obrigações financeiras sem incorrer em custos excessivos ou perdas relevantes.</w:t>
      </w:r>
    </w:p>
    <w:p w14:paraId="0856E23D" w14:textId="77777777" w:rsidR="008C20C3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9" w:name="_Toc232183486"/>
      <w:r w:rsidRPr="008C20C3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Solvabilidade:</w:t>
      </w:r>
      <w:bookmarkEnd w:id="9"/>
      <w:r w:rsidRPr="008C20C3">
        <w:rPr>
          <w:rFonts w:ascii="D-DIN" w:hAnsi="D-DIN"/>
        </w:rPr>
        <w:t xml:space="preserve"> risco de insuficiência de fundos próprios para absorver perdas inesperadas e assegurar o cumprimento dos requisitos prudenciais e das obrigações da MADZ GLOBAL.</w:t>
      </w:r>
    </w:p>
    <w:p w14:paraId="57552A54" w14:textId="77777777" w:rsidR="008C20C3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10" w:name="_Toc232183487"/>
      <w:r w:rsidRPr="008C20C3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Taxa de Juro:</w:t>
      </w:r>
      <w:bookmarkEnd w:id="10"/>
      <w:r w:rsidRPr="008C20C3">
        <w:rPr>
          <w:rFonts w:ascii="D-DIN" w:hAnsi="D-DIN"/>
        </w:rPr>
        <w:t xml:space="preserve"> risco de impactos negativos nos resultados ou no valor económico da MADZ GLOBAL decorrentes de movimentos adversos nas taxas de juro.</w:t>
      </w:r>
    </w:p>
    <w:p w14:paraId="2BB03A44" w14:textId="77777777" w:rsidR="008C20C3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11" w:name="_Toc232183488"/>
      <w:r w:rsidRPr="008C20C3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Taxa de Câmbio:</w:t>
      </w:r>
      <w:bookmarkEnd w:id="11"/>
      <w:r w:rsidRPr="008C20C3">
        <w:rPr>
          <w:rFonts w:ascii="D-DIN" w:hAnsi="D-DIN"/>
        </w:rPr>
        <w:t xml:space="preserve"> risco de perdas resultantes de variações adversas nas taxas de câmbio que afetem ativos, passivos, posições ou fluxos financeiros denominados em moeda estrangeira.</w:t>
      </w:r>
    </w:p>
    <w:p w14:paraId="1ADC2146" w14:textId="510443F7" w:rsidR="000D0E73" w:rsidRPr="008C20C3" w:rsidRDefault="000D0E73" w:rsidP="00390ECD">
      <w:pPr>
        <w:pStyle w:val="PargrafodaLista"/>
        <w:numPr>
          <w:ilvl w:val="0"/>
          <w:numId w:val="15"/>
        </w:numPr>
        <w:jc w:val="both"/>
        <w:rPr>
          <w:rFonts w:ascii="D-DIN" w:hAnsi="D-DIN"/>
        </w:rPr>
      </w:pPr>
      <w:bookmarkStart w:id="12" w:name="_Toc232183489"/>
      <w:r w:rsidRPr="008C20C3">
        <w:rPr>
          <w:rStyle w:val="Ttulo3Carter"/>
          <w:b/>
          <w:bCs/>
          <w:color w:val="auto"/>
          <w:sz w:val="24"/>
          <w:szCs w:val="24"/>
        </w:rPr>
        <w:t>Risco de Mercado</w:t>
      </w:r>
      <w:bookmarkEnd w:id="12"/>
      <w:r w:rsidRPr="008C20C3">
        <w:rPr>
          <w:rStyle w:val="Forte"/>
          <w:rFonts w:ascii="D-DIN" w:hAnsi="D-DIN"/>
          <w:b w:val="0"/>
          <w:bCs w:val="0"/>
        </w:rPr>
        <w:t>:</w:t>
      </w:r>
      <w:r w:rsidRPr="008C20C3">
        <w:rPr>
          <w:rFonts w:ascii="D-DIN" w:hAnsi="D-DIN"/>
        </w:rPr>
        <w:t xml:space="preserve"> risco de perdas decorrentes de movimentos adversos nos preços de mercado dos instrumentos financeiros detidos ou intermediados pela MADZ GLOBAL, incluindo ações, obrigações, taxas de juro, taxas de câmbio e outros ativos financeiros.</w:t>
      </w:r>
    </w:p>
    <w:p w14:paraId="09F53F5E" w14:textId="0F0283F7" w:rsidR="000D0E73" w:rsidRPr="00494525" w:rsidRDefault="000D0E73" w:rsidP="00764FD5">
      <w:pPr>
        <w:pStyle w:val="Ttulo3"/>
        <w:numPr>
          <w:ilvl w:val="1"/>
          <w:numId w:val="29"/>
        </w:numPr>
        <w:rPr>
          <w:color w:val="auto"/>
          <w:sz w:val="24"/>
          <w:szCs w:val="24"/>
        </w:rPr>
      </w:pPr>
      <w:bookmarkStart w:id="13" w:name="_Toc232183490"/>
      <w:r w:rsidRPr="00494525">
        <w:rPr>
          <w:rStyle w:val="Forte"/>
          <w:rFonts w:ascii="D-DIN" w:hAnsi="D-DIN"/>
          <w:color w:val="auto"/>
          <w:sz w:val="24"/>
          <w:szCs w:val="24"/>
        </w:rPr>
        <w:t>RISCOS NÃO FINANCEIROS</w:t>
      </w:r>
      <w:bookmarkEnd w:id="13"/>
    </w:p>
    <w:p w14:paraId="0B52D45F" w14:textId="77777777" w:rsidR="00494525" w:rsidRDefault="000D0E73" w:rsidP="00390EC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14" w:name="_Toc232183491"/>
      <w:r w:rsidRPr="00494525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Operacional:</w:t>
      </w:r>
      <w:bookmarkEnd w:id="14"/>
      <w:r w:rsidRPr="00494525">
        <w:rPr>
          <w:rStyle w:val="Ttulo3Carter"/>
          <w:rFonts w:ascii="D-DIN" w:hAnsi="D-DIN"/>
          <w:b/>
          <w:bCs/>
          <w:color w:val="auto"/>
          <w:sz w:val="24"/>
          <w:szCs w:val="24"/>
        </w:rPr>
        <w:t xml:space="preserve"> </w:t>
      </w:r>
      <w:r w:rsidRPr="00494525">
        <w:rPr>
          <w:rFonts w:ascii="D-DIN" w:hAnsi="D-DIN"/>
        </w:rPr>
        <w:t>risco de perdas resultantes da inadequação ou falha de processos internos, pessoas, sistemas ou de eventos externos que afetem as operações da MADZ GLOBAL.</w:t>
      </w:r>
    </w:p>
    <w:p w14:paraId="5068408E" w14:textId="4D492D11" w:rsidR="000D0E73" w:rsidRPr="00494525" w:rsidRDefault="000D0E73" w:rsidP="00390EC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15" w:name="_Toc232183492"/>
      <w:r w:rsidRPr="00494525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Tecnológico:</w:t>
      </w:r>
      <w:bookmarkEnd w:id="15"/>
      <w:r w:rsidRPr="00494525">
        <w:rPr>
          <w:rFonts w:ascii="D-DIN" w:hAnsi="D-DIN"/>
          <w:sz w:val="22"/>
          <w:szCs w:val="22"/>
        </w:rPr>
        <w:t xml:space="preserve"> </w:t>
      </w:r>
      <w:r w:rsidRPr="00494525">
        <w:rPr>
          <w:rFonts w:ascii="D-DIN" w:hAnsi="D-DIN"/>
        </w:rPr>
        <w:t>risco decorrente da inadequação, indisponibilidade, falha ou vulnerabilidade dos sistemas de informação, infraestruturas tecnológicas e mecanismos de segurança informática utilizados pela MADZ GLOBAL.</w:t>
      </w:r>
    </w:p>
    <w:p w14:paraId="4C4060B4" w14:textId="77777777" w:rsidR="00494525" w:rsidRDefault="00494525">
      <w:pPr>
        <w:rPr>
          <w:rStyle w:val="Forte"/>
          <w:rFonts w:ascii="D-DIN" w:hAnsi="D-DIN"/>
        </w:rPr>
      </w:pPr>
      <w:r>
        <w:rPr>
          <w:rStyle w:val="Forte"/>
          <w:rFonts w:ascii="D-DIN" w:hAnsi="D-DIN"/>
        </w:rPr>
        <w:br w:type="page"/>
      </w:r>
    </w:p>
    <w:p w14:paraId="1C40D7D6" w14:textId="77777777" w:rsidR="00413D84" w:rsidRDefault="000D0E73" w:rsidP="00390EC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16" w:name="_Toc232183493"/>
      <w:r w:rsidRPr="00494525">
        <w:rPr>
          <w:rStyle w:val="Ttulo3Carter"/>
          <w:b/>
          <w:bCs/>
          <w:color w:val="auto"/>
          <w:sz w:val="24"/>
          <w:szCs w:val="24"/>
        </w:rPr>
        <w:lastRenderedPageBreak/>
        <w:t>Risco Estratégico:</w:t>
      </w:r>
      <w:bookmarkEnd w:id="16"/>
      <w:r w:rsidRPr="00494525">
        <w:rPr>
          <w:rFonts w:ascii="D-DIN" w:hAnsi="D-DIN"/>
          <w:sz w:val="22"/>
          <w:szCs w:val="22"/>
        </w:rPr>
        <w:t xml:space="preserve"> </w:t>
      </w:r>
      <w:r w:rsidRPr="00494525">
        <w:rPr>
          <w:rFonts w:ascii="D-DIN" w:hAnsi="D-DIN"/>
        </w:rPr>
        <w:t>risco de impactos negativos decorrentes de decisões estratégicas inadequadas, implementação deficiente das estratégias definidas ou incapacidade da MADZ GLOBAL em adaptar-se às alterações do ambiente de negócio.</w:t>
      </w:r>
    </w:p>
    <w:p w14:paraId="7FD0788C" w14:textId="77777777" w:rsidR="00413D84" w:rsidRDefault="000D0E73" w:rsidP="00390EC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17" w:name="_Toc232183494"/>
      <w:r w:rsidRPr="00413D84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Reputação:</w:t>
      </w:r>
      <w:bookmarkEnd w:id="17"/>
      <w:r w:rsidRPr="00413D84">
        <w:rPr>
          <w:rFonts w:ascii="D-DIN" w:hAnsi="D-DIN"/>
          <w:sz w:val="22"/>
          <w:szCs w:val="22"/>
        </w:rPr>
        <w:t xml:space="preserve"> </w:t>
      </w:r>
      <w:r w:rsidRPr="00413D84">
        <w:rPr>
          <w:rFonts w:ascii="D-DIN" w:hAnsi="D-DIN"/>
        </w:rPr>
        <w:t>risco de perdas ou impactos adversos decorrentes da perceção negativa da imagem, credibilidade ou integridade da MADZ GLOBAL por clientes, investidores, reguladores, parceiros ou pelo mercado em geral.</w:t>
      </w:r>
    </w:p>
    <w:p w14:paraId="4360FF1B" w14:textId="77777777" w:rsidR="00F561ED" w:rsidRDefault="000D0E73" w:rsidP="00390EC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18" w:name="_Toc232183495"/>
      <w:r w:rsidRPr="00413D84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Conformidade (Compliance</w:t>
      </w:r>
      <w:bookmarkEnd w:id="18"/>
      <w:r w:rsidRPr="00413D84">
        <w:rPr>
          <w:rStyle w:val="Forte"/>
          <w:rFonts w:ascii="D-DIN" w:hAnsi="D-DIN"/>
        </w:rPr>
        <w:t>):</w:t>
      </w:r>
      <w:r w:rsidRPr="00413D84">
        <w:rPr>
          <w:rFonts w:ascii="D-DIN" w:hAnsi="D-DIN"/>
        </w:rPr>
        <w:t xml:space="preserve"> risco de sanções legais, regulamentares, financeiras ou reputacionais resultantes do incumprimento, pela MADZ GLOBAL, de leis, regulamentos, normas internas ou códigos de conduta aplicáveis à sua atividade.</w:t>
      </w:r>
    </w:p>
    <w:p w14:paraId="6651B948" w14:textId="77777777" w:rsid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19" w:name="_Toc232183496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Legal e Regulatório:</w:t>
      </w:r>
      <w:bookmarkEnd w:id="19"/>
      <w:r w:rsidRPr="00F561ED">
        <w:rPr>
          <w:rFonts w:ascii="D-DIN" w:hAnsi="D-DIN"/>
        </w:rPr>
        <w:t xml:space="preserve"> risco de perdas decorrentes de alterações legislativas, interpretações jurídicas desfavoráveis, litígios ou incumprimento de requisitos legais e regulamentares aplicáveis à MADZ GLOBAL.</w:t>
      </w:r>
    </w:p>
    <w:p w14:paraId="7AD4EC04" w14:textId="77777777" w:rsid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20" w:name="_Toc232183497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Branqueamento de Capitais, Financiamento do Terrorismo e da Proliferação de Armas de Destruição em Massa (BC/FT/PADM):</w:t>
      </w:r>
      <w:bookmarkEnd w:id="20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 xml:space="preserve"> </w:t>
      </w:r>
      <w:r w:rsidRPr="00F561ED">
        <w:rPr>
          <w:rFonts w:ascii="D-DIN" w:hAnsi="D-DIN"/>
        </w:rPr>
        <w:t>risco de utilização da MADZ GLOBAL para a prática de operações ilícitas relacionadas com branqueamento de capitais, financiamento do terrorismo ou financiamento da proliferação de armas de destruição em massa, com impactos legais, financeiros e reputacionais.</w:t>
      </w:r>
    </w:p>
    <w:p w14:paraId="77A15525" w14:textId="77777777" w:rsid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21" w:name="_Toc232183498"/>
      <w:r w:rsidRPr="00F561ED">
        <w:rPr>
          <w:rStyle w:val="Ttulo3Carter"/>
          <w:rFonts w:ascii="D-DIN" w:hAnsi="D-DIN"/>
          <w:b/>
          <w:bCs/>
          <w:color w:val="auto"/>
        </w:rPr>
        <w:t>Risco Ambiental, Social e de Governação (ESG):</w:t>
      </w:r>
      <w:bookmarkEnd w:id="21"/>
      <w:r w:rsidRPr="00F561ED">
        <w:rPr>
          <w:rFonts w:ascii="D-DIN" w:hAnsi="D-DIN"/>
        </w:rPr>
        <w:t xml:space="preserve"> risco de impactos negativos nos resultados, no capital ou na reputação da MADZ GLOBAL decorrentes de fatores ambientais, sociais e de governação, incluindo os efeitos das alterações climáticas.</w:t>
      </w:r>
    </w:p>
    <w:p w14:paraId="5A263284" w14:textId="77777777" w:rsid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22" w:name="_Toc232183499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Continuidade de Negócio:</w:t>
      </w:r>
      <w:bookmarkEnd w:id="22"/>
      <w:r w:rsidRPr="00F561ED">
        <w:rPr>
          <w:rFonts w:ascii="D-DIN" w:hAnsi="D-DIN"/>
          <w:sz w:val="22"/>
          <w:szCs w:val="22"/>
        </w:rPr>
        <w:t xml:space="preserve"> </w:t>
      </w:r>
      <w:r w:rsidRPr="00F561ED">
        <w:rPr>
          <w:rFonts w:ascii="D-DIN" w:hAnsi="D-DIN"/>
        </w:rPr>
        <w:t>risco de interrupção das atividades críticas da MADZ GLOBAL devido à ocorrência de eventos internos ou externos que comprometam a continuidade operacional.</w:t>
      </w:r>
    </w:p>
    <w:p w14:paraId="5BEADB87" w14:textId="77777777" w:rsid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23" w:name="_Toc232183500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Terceirização (Outsourcing):</w:t>
      </w:r>
      <w:bookmarkEnd w:id="23"/>
      <w:r w:rsidRPr="00F561ED">
        <w:rPr>
          <w:rFonts w:ascii="D-DIN" w:hAnsi="D-DIN"/>
          <w:sz w:val="22"/>
          <w:szCs w:val="22"/>
        </w:rPr>
        <w:t xml:space="preserve"> </w:t>
      </w:r>
      <w:r w:rsidRPr="00F561ED">
        <w:rPr>
          <w:rFonts w:ascii="D-DIN" w:hAnsi="D-DIN"/>
        </w:rPr>
        <w:t>risco decorrente da contratação de prestadores de serviços externos cuja atuação possa comprometer o desempenho, a conformidade, a segurança da informação ou a continuidade das operações da MADZ GLOBAL.</w:t>
      </w:r>
    </w:p>
    <w:p w14:paraId="76BED2B9" w14:textId="77777777" w:rsid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24" w:name="_Toc232183501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Conduta:</w:t>
      </w:r>
      <w:bookmarkEnd w:id="24"/>
      <w:r w:rsidRPr="00F561ED">
        <w:rPr>
          <w:rFonts w:ascii="D-DIN" w:hAnsi="D-DIN"/>
          <w:sz w:val="22"/>
          <w:szCs w:val="22"/>
        </w:rPr>
        <w:t xml:space="preserve"> </w:t>
      </w:r>
      <w:r w:rsidRPr="00F561ED">
        <w:rPr>
          <w:rFonts w:ascii="D-DIN" w:hAnsi="D-DIN"/>
        </w:rPr>
        <w:t>risco de perdas resultantes de práticas inadequadas, negligentes, antiéticas ou não conformes no relacionamento da MADZ GLOBAL com clientes, investidores, contrapartes ou entidades reguladoras.</w:t>
      </w:r>
    </w:p>
    <w:p w14:paraId="718D7051" w14:textId="0CB0D3ED" w:rsidR="005C2543" w:rsidRPr="00F561ED" w:rsidRDefault="000D0E73" w:rsidP="00F561ED">
      <w:pPr>
        <w:pStyle w:val="PargrafodaLista"/>
        <w:numPr>
          <w:ilvl w:val="0"/>
          <w:numId w:val="16"/>
        </w:numPr>
        <w:jc w:val="both"/>
        <w:rPr>
          <w:rFonts w:ascii="D-DIN" w:hAnsi="D-DIN"/>
        </w:rPr>
      </w:pPr>
      <w:bookmarkStart w:id="25" w:name="_Toc232183502"/>
      <w:r w:rsidRPr="00F561ED">
        <w:rPr>
          <w:rStyle w:val="Ttulo3Carter"/>
          <w:rFonts w:ascii="D-DIN" w:hAnsi="D-DIN"/>
          <w:b/>
          <w:bCs/>
          <w:color w:val="auto"/>
          <w:sz w:val="24"/>
          <w:szCs w:val="24"/>
        </w:rPr>
        <w:t>Risco de Modelo:</w:t>
      </w:r>
      <w:bookmarkEnd w:id="25"/>
      <w:r w:rsidRPr="00F561ED">
        <w:rPr>
          <w:rFonts w:ascii="D-DIN" w:hAnsi="D-DIN"/>
          <w:sz w:val="22"/>
          <w:szCs w:val="22"/>
        </w:rPr>
        <w:t xml:space="preserve"> </w:t>
      </w:r>
      <w:r w:rsidRPr="00F561ED">
        <w:rPr>
          <w:rFonts w:ascii="D-DIN" w:hAnsi="D-DIN"/>
        </w:rPr>
        <w:t>risco de perdas decorrentes da utilização de modelos, metodologias, premissas ou dados inadequados, incorretos ou mal calibrados nos processos de decisão, avaliação ou gestão de riscos da MADZ GLOBAL.</w:t>
      </w:r>
    </w:p>
    <w:p w14:paraId="4FEBB56D" w14:textId="17B76B9B" w:rsidR="000D0E73" w:rsidRPr="00390ECD" w:rsidRDefault="005C2543" w:rsidP="005C2543">
      <w:pPr>
        <w:rPr>
          <w:rFonts w:ascii="D-DIN" w:hAnsi="D-DIN"/>
        </w:rPr>
      </w:pPr>
      <w:r>
        <w:rPr>
          <w:rFonts w:ascii="D-DIN" w:hAnsi="D-DIN"/>
        </w:rPr>
        <w:br w:type="page"/>
      </w:r>
    </w:p>
    <w:p w14:paraId="5F3673E6" w14:textId="6027709B" w:rsidR="00142746" w:rsidRPr="00F561ED" w:rsidRDefault="00142746" w:rsidP="00764FD5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26" w:name="_Toc232183503"/>
      <w:r w:rsidRPr="00F561ED">
        <w:rPr>
          <w:rFonts w:ascii="D-DIN" w:hAnsi="D-DIN"/>
          <w:b/>
          <w:bCs/>
          <w:color w:val="auto"/>
          <w:sz w:val="28"/>
          <w:szCs w:val="28"/>
        </w:rPr>
        <w:lastRenderedPageBreak/>
        <w:t>DEFINIÇÃO DO PERFIL DE RISCO E GRAU DE TOLERÂNCIA FACE AO RISCO</w:t>
      </w:r>
      <w:bookmarkEnd w:id="26"/>
    </w:p>
    <w:p w14:paraId="470921FC" w14:textId="13A24CEA" w:rsidR="00142746" w:rsidRPr="00390ECD" w:rsidRDefault="00142746" w:rsidP="00142746">
      <w:pPr>
        <w:spacing w:line="360" w:lineRule="auto"/>
        <w:jc w:val="both"/>
        <w:rPr>
          <w:rFonts w:ascii="D-DIN" w:hAnsi="D-DIN"/>
        </w:rPr>
      </w:pPr>
      <w:r w:rsidRPr="00390ECD">
        <w:rPr>
          <w:rFonts w:ascii="D-DIN" w:hAnsi="D-DIN"/>
        </w:rPr>
        <w:t xml:space="preserve">A </w:t>
      </w:r>
      <w:r w:rsidR="00BB1495" w:rsidRPr="00390ECD">
        <w:rPr>
          <w:rFonts w:ascii="D-DIN" w:hAnsi="D-DIN"/>
        </w:rPr>
        <w:t>MADZ GLOBAL</w:t>
      </w:r>
      <w:r w:rsidRPr="00390ECD">
        <w:rPr>
          <w:rFonts w:ascii="D-DIN" w:hAnsi="D-DIN"/>
        </w:rPr>
        <w:t xml:space="preserve"> adopta um perfil de risco conservador para todos os riscos materiais relevantes e, consequentemente, um grau de tolerância baixo face ao risco, garantindo, assim, a continuidade do negócio em termos de rentabilidade e de solvabilidade em qualquer situação. Este perfil foi determinado com base, dentre outros eventos, na estratégia de negócio definida e no enquadramento macroeconómico em que actua.</w:t>
      </w:r>
    </w:p>
    <w:p w14:paraId="233BEC6D" w14:textId="4966FD97" w:rsidR="00390ECD" w:rsidRPr="00390ECD" w:rsidRDefault="00142746" w:rsidP="00142746">
      <w:pPr>
        <w:spacing w:line="360" w:lineRule="auto"/>
        <w:jc w:val="both"/>
        <w:rPr>
          <w:rFonts w:ascii="D-DIN" w:hAnsi="D-DIN"/>
        </w:rPr>
      </w:pPr>
      <w:r w:rsidRPr="00390ECD">
        <w:rPr>
          <w:rFonts w:ascii="D-DIN" w:hAnsi="D-DIN"/>
        </w:rPr>
        <w:t xml:space="preserve">O perfil de risco e grau de tolerância, face aos riscos definidos na presente Política, são comunicados a todas as áreas de negócio consideradas relevantes da </w:t>
      </w:r>
      <w:r w:rsidR="00BB1495" w:rsidRPr="00390ECD">
        <w:rPr>
          <w:rFonts w:ascii="D-DIN" w:hAnsi="D-DIN"/>
        </w:rPr>
        <w:t>MADZ GLOBAL</w:t>
      </w:r>
      <w:r w:rsidRPr="00390ECD">
        <w:rPr>
          <w:rFonts w:ascii="D-DIN" w:hAnsi="D-DIN"/>
        </w:rPr>
        <w:t>.</w:t>
      </w:r>
    </w:p>
    <w:p w14:paraId="228B372E" w14:textId="6FA7DBD3" w:rsidR="00390ECD" w:rsidRPr="00390ECD" w:rsidRDefault="00142746" w:rsidP="00142746">
      <w:pPr>
        <w:spacing w:line="360" w:lineRule="auto"/>
        <w:jc w:val="both"/>
        <w:rPr>
          <w:rFonts w:ascii="D-DIN" w:hAnsi="D-DIN"/>
        </w:rPr>
      </w:pPr>
      <w:r w:rsidRPr="00390ECD">
        <w:rPr>
          <w:rFonts w:ascii="D-DIN" w:hAnsi="D-DIN"/>
        </w:rPr>
        <w:t xml:space="preserve">De acordo com o actual modelo de gestão de riscos da </w:t>
      </w:r>
      <w:r w:rsidR="00BB1495" w:rsidRPr="00390ECD">
        <w:rPr>
          <w:rFonts w:ascii="D-DIN" w:hAnsi="D-DIN"/>
        </w:rPr>
        <w:t>MADZ GLOBAL</w:t>
      </w:r>
      <w:r w:rsidRPr="00390ECD">
        <w:rPr>
          <w:rFonts w:ascii="D-DIN" w:hAnsi="D-DIN"/>
        </w:rPr>
        <w:t>, identificam-se os seguintes riscos relevantes:</w:t>
      </w:r>
    </w:p>
    <w:tbl>
      <w:tblPr>
        <w:tblStyle w:val="TabelacomGrelha"/>
        <w:tblpPr w:leftFromText="180" w:rightFromText="180" w:vertAnchor="text" w:horzAnchor="page" w:tblpX="1773" w:tblpY="172"/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049"/>
        <w:gridCol w:w="4730"/>
      </w:tblGrid>
      <w:tr w:rsidR="005C2543" w:rsidRPr="005C2543" w14:paraId="0607648A" w14:textId="77777777" w:rsidTr="00F561ED">
        <w:trPr>
          <w:trHeight w:val="300"/>
        </w:trPr>
        <w:tc>
          <w:tcPr>
            <w:tcW w:w="5000" w:type="pct"/>
            <w:gridSpan w:val="2"/>
            <w:shd w:val="clear" w:color="auto" w:fill="A5C9EB"/>
            <w:vAlign w:val="center"/>
          </w:tcPr>
          <w:p w14:paraId="0CA73776" w14:textId="77777777" w:rsidR="005C2543" w:rsidRPr="005C2543" w:rsidRDefault="005C2543" w:rsidP="00F561ED">
            <w:pPr>
              <w:spacing w:after="160" w:line="278" w:lineRule="auto"/>
              <w:jc w:val="center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FINANCEIROS</w:t>
            </w:r>
          </w:p>
        </w:tc>
      </w:tr>
      <w:tr w:rsidR="005C2543" w:rsidRPr="005C2543" w14:paraId="0164E1CA" w14:textId="77777777" w:rsidTr="00F561ED">
        <w:trPr>
          <w:trHeight w:val="20"/>
        </w:trPr>
        <w:tc>
          <w:tcPr>
            <w:tcW w:w="2306" w:type="pct"/>
            <w:vMerge w:val="restart"/>
            <w:vAlign w:val="center"/>
          </w:tcPr>
          <w:p w14:paraId="64A8BE39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de Crédito</w:t>
            </w:r>
          </w:p>
        </w:tc>
        <w:tc>
          <w:tcPr>
            <w:tcW w:w="2694" w:type="pct"/>
          </w:tcPr>
          <w:p w14:paraId="38968479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Incumprimento.</w:t>
            </w:r>
          </w:p>
        </w:tc>
      </w:tr>
      <w:tr w:rsidR="005C2543" w:rsidRPr="005C2543" w14:paraId="04E2C02C" w14:textId="77777777" w:rsidTr="00F561ED">
        <w:trPr>
          <w:trHeight w:val="20"/>
        </w:trPr>
        <w:tc>
          <w:tcPr>
            <w:tcW w:w="2306" w:type="pct"/>
            <w:vMerge/>
          </w:tcPr>
          <w:p w14:paraId="1636AEF8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2694" w:type="pct"/>
          </w:tcPr>
          <w:p w14:paraId="4AE3167E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Concentração.</w:t>
            </w:r>
          </w:p>
        </w:tc>
      </w:tr>
      <w:tr w:rsidR="005C2543" w:rsidRPr="005C2543" w14:paraId="7FBD225A" w14:textId="77777777" w:rsidTr="00F561ED">
        <w:trPr>
          <w:trHeight w:val="20"/>
        </w:trPr>
        <w:tc>
          <w:tcPr>
            <w:tcW w:w="2306" w:type="pct"/>
            <w:vMerge/>
          </w:tcPr>
          <w:p w14:paraId="09F3126F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2694" w:type="pct"/>
          </w:tcPr>
          <w:p w14:paraId="4D16D383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Crédito.</w:t>
            </w:r>
          </w:p>
        </w:tc>
      </w:tr>
      <w:tr w:rsidR="005C2543" w:rsidRPr="005C2543" w14:paraId="1D25676B" w14:textId="77777777" w:rsidTr="00F561ED">
        <w:trPr>
          <w:trHeight w:val="20"/>
        </w:trPr>
        <w:tc>
          <w:tcPr>
            <w:tcW w:w="2306" w:type="pct"/>
            <w:vMerge/>
          </w:tcPr>
          <w:p w14:paraId="15DBC7C4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</w:p>
        </w:tc>
        <w:tc>
          <w:tcPr>
            <w:tcW w:w="2694" w:type="pct"/>
          </w:tcPr>
          <w:p w14:paraId="2B8B616D" w14:textId="77777777" w:rsidR="005C2543" w:rsidRPr="005C2543" w:rsidRDefault="005C2543" w:rsidP="00F561ED">
            <w:pPr>
              <w:spacing w:after="160" w:line="278" w:lineRule="auto"/>
              <w:jc w:val="both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Contraparte.</w:t>
            </w:r>
          </w:p>
        </w:tc>
      </w:tr>
      <w:tr w:rsidR="005C2543" w:rsidRPr="005C2543" w14:paraId="67F6DC33" w14:textId="77777777" w:rsidTr="00F561ED">
        <w:trPr>
          <w:trHeight w:val="20"/>
        </w:trPr>
        <w:tc>
          <w:tcPr>
            <w:tcW w:w="2306" w:type="pct"/>
            <w:vMerge w:val="restart"/>
            <w:vAlign w:val="center"/>
          </w:tcPr>
          <w:p w14:paraId="3EFD3F06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de Balanço e de Mercado</w:t>
            </w:r>
          </w:p>
        </w:tc>
        <w:tc>
          <w:tcPr>
            <w:tcW w:w="2694" w:type="pct"/>
          </w:tcPr>
          <w:p w14:paraId="1467AA24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taxa de Juro.</w:t>
            </w:r>
          </w:p>
        </w:tc>
      </w:tr>
      <w:tr w:rsidR="005C2543" w:rsidRPr="005C2543" w14:paraId="4C5754D6" w14:textId="77777777" w:rsidTr="00F561ED">
        <w:trPr>
          <w:trHeight w:val="20"/>
        </w:trPr>
        <w:tc>
          <w:tcPr>
            <w:tcW w:w="2306" w:type="pct"/>
            <w:vMerge/>
            <w:vAlign w:val="center"/>
          </w:tcPr>
          <w:p w14:paraId="046A886B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</w:tcPr>
          <w:p w14:paraId="060015F7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taxa de câmbio e Mercado.</w:t>
            </w:r>
          </w:p>
        </w:tc>
      </w:tr>
      <w:tr w:rsidR="005C2543" w:rsidRPr="005C2543" w14:paraId="2C104383" w14:textId="77777777" w:rsidTr="00F561ED">
        <w:trPr>
          <w:trHeight w:val="20"/>
        </w:trPr>
        <w:tc>
          <w:tcPr>
            <w:tcW w:w="2306" w:type="pct"/>
            <w:vMerge/>
            <w:vAlign w:val="center"/>
          </w:tcPr>
          <w:p w14:paraId="4D5E60BF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</w:tcPr>
          <w:p w14:paraId="38B25268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Solvabilidade.</w:t>
            </w:r>
          </w:p>
        </w:tc>
      </w:tr>
      <w:tr w:rsidR="005C2543" w:rsidRPr="005C2543" w14:paraId="04E8EE7A" w14:textId="77777777" w:rsidTr="00F561ED">
        <w:trPr>
          <w:trHeight w:val="20"/>
        </w:trPr>
        <w:tc>
          <w:tcPr>
            <w:tcW w:w="2306" w:type="pct"/>
            <w:vMerge/>
            <w:vAlign w:val="center"/>
          </w:tcPr>
          <w:p w14:paraId="06FAC95E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</w:tcPr>
          <w:p w14:paraId="5E0BC748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Liquidez.</w:t>
            </w:r>
          </w:p>
        </w:tc>
      </w:tr>
      <w:tr w:rsidR="005C2543" w:rsidRPr="005C2543" w14:paraId="707E90DA" w14:textId="77777777" w:rsidTr="00F561ED">
        <w:trPr>
          <w:trHeight w:val="538"/>
        </w:trPr>
        <w:tc>
          <w:tcPr>
            <w:tcW w:w="5000" w:type="pct"/>
            <w:gridSpan w:val="2"/>
            <w:shd w:val="clear" w:color="auto" w:fill="A5C9EB"/>
            <w:vAlign w:val="center"/>
          </w:tcPr>
          <w:p w14:paraId="77115F36" w14:textId="2C15DA14" w:rsidR="005C2543" w:rsidRPr="005C2543" w:rsidRDefault="005C2543" w:rsidP="00F561ED">
            <w:pPr>
              <w:spacing w:after="160" w:line="278" w:lineRule="auto"/>
              <w:jc w:val="center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NÃO FINANCEIROS</w:t>
            </w:r>
          </w:p>
        </w:tc>
      </w:tr>
      <w:tr w:rsidR="005C2543" w:rsidRPr="005C2543" w14:paraId="0A9A5A64" w14:textId="77777777" w:rsidTr="00F561ED">
        <w:trPr>
          <w:trHeight w:val="538"/>
        </w:trPr>
        <w:tc>
          <w:tcPr>
            <w:tcW w:w="2306" w:type="pct"/>
            <w:vMerge w:val="restart"/>
            <w:vAlign w:val="center"/>
          </w:tcPr>
          <w:p w14:paraId="4287ED50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Operacional</w:t>
            </w:r>
          </w:p>
        </w:tc>
        <w:tc>
          <w:tcPr>
            <w:tcW w:w="2694" w:type="pct"/>
            <w:vAlign w:val="center"/>
          </w:tcPr>
          <w:p w14:paraId="73A7E21D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Tecnológico.</w:t>
            </w:r>
          </w:p>
        </w:tc>
      </w:tr>
      <w:tr w:rsidR="005C2543" w:rsidRPr="005C2543" w14:paraId="4F47232C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5E8A5883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7C727D8A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Operacional.</w:t>
            </w:r>
          </w:p>
        </w:tc>
      </w:tr>
      <w:tr w:rsidR="005C2543" w:rsidRPr="005C2543" w14:paraId="280DCA36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771D3B8D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378297FE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Continuidade de Negócio.</w:t>
            </w:r>
          </w:p>
        </w:tc>
      </w:tr>
      <w:tr w:rsidR="005C2543" w:rsidRPr="005C2543" w14:paraId="139D0AF5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3413326A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5F81DA35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Terceirização (Outsourcing).</w:t>
            </w:r>
          </w:p>
        </w:tc>
      </w:tr>
      <w:tr w:rsidR="005C2543" w:rsidRPr="005C2543" w14:paraId="7AE6E294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0ABA1B78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20BC827E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Modelo.</w:t>
            </w:r>
          </w:p>
        </w:tc>
      </w:tr>
      <w:tr w:rsidR="005C2543" w:rsidRPr="005C2543" w14:paraId="33421C2A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068F3A8F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3FC63DEA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Compliance.</w:t>
            </w:r>
          </w:p>
        </w:tc>
      </w:tr>
      <w:tr w:rsidR="005C2543" w:rsidRPr="005C2543" w14:paraId="6BEAED58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0A3F4F27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39CC411E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Legal e Regulatório.</w:t>
            </w:r>
          </w:p>
        </w:tc>
      </w:tr>
      <w:tr w:rsidR="005C2543" w:rsidRPr="005C2543" w14:paraId="77295952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2EA033D1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52F0B3AA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BC/FT/PADM</w:t>
            </w:r>
          </w:p>
        </w:tc>
      </w:tr>
      <w:tr w:rsidR="005C2543" w:rsidRPr="005C2543" w14:paraId="18D01504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08549375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2FA99BF0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Conduta</w:t>
            </w:r>
          </w:p>
        </w:tc>
      </w:tr>
      <w:tr w:rsidR="005C2543" w:rsidRPr="005C2543" w14:paraId="403645EF" w14:textId="77777777" w:rsidTr="00F561ED">
        <w:trPr>
          <w:trHeight w:val="538"/>
        </w:trPr>
        <w:tc>
          <w:tcPr>
            <w:tcW w:w="2306" w:type="pct"/>
            <w:vMerge w:val="restart"/>
            <w:vAlign w:val="center"/>
          </w:tcPr>
          <w:p w14:paraId="01C2F13B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Reputacional</w:t>
            </w:r>
          </w:p>
        </w:tc>
        <w:tc>
          <w:tcPr>
            <w:tcW w:w="2694" w:type="pct"/>
            <w:vAlign w:val="center"/>
          </w:tcPr>
          <w:p w14:paraId="2EAD0F72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de Reputação.</w:t>
            </w:r>
          </w:p>
        </w:tc>
      </w:tr>
      <w:tr w:rsidR="005C2543" w:rsidRPr="005C2543" w14:paraId="7B557ECE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7D25B12B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2A0ACC89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Ambiental, Social e de Governação (ESG) na vertente reputacional.</w:t>
            </w:r>
          </w:p>
        </w:tc>
      </w:tr>
      <w:tr w:rsidR="005C2543" w:rsidRPr="005C2543" w14:paraId="155952A3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19EE9947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717AF6C2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Impactos reputacionais decorrentes da materialização de quaisquer outros riscos.</w:t>
            </w:r>
          </w:p>
        </w:tc>
      </w:tr>
      <w:tr w:rsidR="005C2543" w:rsidRPr="005C2543" w14:paraId="5A619178" w14:textId="77777777" w:rsidTr="00F561ED">
        <w:trPr>
          <w:trHeight w:val="538"/>
        </w:trPr>
        <w:tc>
          <w:tcPr>
            <w:tcW w:w="2306" w:type="pct"/>
            <w:vMerge w:val="restart"/>
            <w:vAlign w:val="center"/>
          </w:tcPr>
          <w:p w14:paraId="1EC3E8E5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  <w:r w:rsidRPr="005C2543">
              <w:rPr>
                <w:rFonts w:ascii="D-DIN" w:hAnsi="D-DIN"/>
                <w:b/>
                <w:bCs/>
                <w:sz w:val="24"/>
                <w:szCs w:val="24"/>
              </w:rPr>
              <w:t>Risco Estratégico</w:t>
            </w:r>
          </w:p>
        </w:tc>
        <w:tc>
          <w:tcPr>
            <w:tcW w:w="2694" w:type="pct"/>
            <w:vAlign w:val="center"/>
          </w:tcPr>
          <w:p w14:paraId="5CCA5D13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Estratégico.</w:t>
            </w:r>
          </w:p>
        </w:tc>
      </w:tr>
      <w:tr w:rsidR="005C2543" w:rsidRPr="005C2543" w14:paraId="64CDF130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6C169430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393FEF59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 Ambiental, Social e de Governação (ESG), na vertente estratégica.</w:t>
            </w:r>
          </w:p>
        </w:tc>
      </w:tr>
      <w:tr w:rsidR="005C2543" w:rsidRPr="005C2543" w14:paraId="56667ACB" w14:textId="77777777" w:rsidTr="00F561ED">
        <w:trPr>
          <w:trHeight w:val="538"/>
        </w:trPr>
        <w:tc>
          <w:tcPr>
            <w:tcW w:w="2306" w:type="pct"/>
            <w:vMerge/>
            <w:vAlign w:val="center"/>
          </w:tcPr>
          <w:p w14:paraId="4BAA9FB2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b/>
                <w:bCs/>
                <w:sz w:val="24"/>
                <w:szCs w:val="24"/>
              </w:rPr>
            </w:pPr>
          </w:p>
        </w:tc>
        <w:tc>
          <w:tcPr>
            <w:tcW w:w="2694" w:type="pct"/>
            <w:vAlign w:val="center"/>
          </w:tcPr>
          <w:p w14:paraId="6BBD40A9" w14:textId="77777777" w:rsidR="005C2543" w:rsidRPr="005C2543" w:rsidRDefault="005C2543" w:rsidP="00F561ED">
            <w:pPr>
              <w:spacing w:after="160" w:line="278" w:lineRule="auto"/>
              <w:rPr>
                <w:rFonts w:ascii="D-DIN" w:hAnsi="D-DIN"/>
                <w:sz w:val="24"/>
                <w:szCs w:val="24"/>
              </w:rPr>
            </w:pPr>
            <w:r w:rsidRPr="005C2543">
              <w:rPr>
                <w:rFonts w:ascii="D-DIN" w:hAnsi="D-DIN"/>
                <w:sz w:val="24"/>
                <w:szCs w:val="24"/>
              </w:rPr>
              <w:t>Riscos emergentes associados à evolução tenológica, regulatória, económica e concorrencial.</w:t>
            </w:r>
          </w:p>
        </w:tc>
      </w:tr>
    </w:tbl>
    <w:p w14:paraId="2B72D6D1" w14:textId="19A763C9" w:rsidR="00142746" w:rsidRPr="00142746" w:rsidRDefault="005C2543" w:rsidP="005C2543">
      <w:pPr>
        <w:rPr>
          <w:rFonts w:ascii="D-DIN" w:hAnsi="D-DIN"/>
        </w:rPr>
      </w:pPr>
      <w:r w:rsidRPr="005C2543">
        <w:rPr>
          <w:rFonts w:ascii="D-DIN" w:hAnsi="D-DIN"/>
        </w:rPr>
        <w:t xml:space="preserve"> </w:t>
      </w:r>
    </w:p>
    <w:p w14:paraId="1FAF8F88" w14:textId="3164CD34" w:rsidR="00F92788" w:rsidRPr="00F561ED" w:rsidRDefault="00F92788" w:rsidP="00764FD5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27" w:name="_Toc232183504"/>
      <w:r w:rsidRPr="00F561ED">
        <w:rPr>
          <w:rFonts w:ascii="D-DIN" w:hAnsi="D-DIN"/>
          <w:b/>
          <w:bCs/>
          <w:color w:val="auto"/>
          <w:sz w:val="28"/>
          <w:szCs w:val="28"/>
          <w:lang w:val="pt-AO"/>
        </w:rPr>
        <w:t>PERFIL DE RISCO DA MADZ GLOBAL – SCVM, S.A.</w:t>
      </w:r>
      <w:bookmarkEnd w:id="27"/>
    </w:p>
    <w:p w14:paraId="2D2228B4" w14:textId="79103655" w:rsidR="00F92788" w:rsidRPr="00F92788" w:rsidRDefault="00F92788" w:rsidP="00F92788">
      <w:pPr>
        <w:spacing w:line="360" w:lineRule="auto"/>
        <w:jc w:val="both"/>
        <w:rPr>
          <w:rFonts w:ascii="D-DIN" w:hAnsi="D-DIN"/>
          <w:lang w:val="pt-AO"/>
        </w:rPr>
      </w:pPr>
      <w:r w:rsidRPr="00F92788">
        <w:rPr>
          <w:rFonts w:ascii="D-DIN" w:hAnsi="D-DIN"/>
          <w:lang w:val="pt-AO"/>
        </w:rPr>
        <w:t>O Perfil de Risco da MADZ GLOBAL</w:t>
      </w:r>
      <w:r w:rsidR="00F561ED">
        <w:rPr>
          <w:rFonts w:ascii="D-DIN" w:hAnsi="D-DIN"/>
          <w:lang w:val="pt-AO"/>
        </w:rPr>
        <w:t xml:space="preserve"> </w:t>
      </w:r>
      <w:r w:rsidRPr="00F92788">
        <w:rPr>
          <w:rFonts w:ascii="D-DIN" w:hAnsi="D-DIN"/>
          <w:lang w:val="pt-AO"/>
        </w:rPr>
        <w:t>representa o conjunto de riscos inerentes às suas atividades, produtos, serviços, processos e ambiente de negócio, bem como o nível de exposição que a Instituição está disposta a assumir para alcançar os seus objetivos estratégicos, em conformidade com os requisitos legais e regulamentares aplicáveis.</w:t>
      </w:r>
    </w:p>
    <w:p w14:paraId="244A412F" w14:textId="77777777" w:rsidR="00102C49" w:rsidRDefault="00F92788" w:rsidP="00102C49">
      <w:pPr>
        <w:spacing w:line="360" w:lineRule="auto"/>
        <w:jc w:val="both"/>
        <w:rPr>
          <w:rFonts w:ascii="D-DIN" w:hAnsi="D-DIN"/>
          <w:lang w:val="pt-AO"/>
        </w:rPr>
      </w:pPr>
      <w:r w:rsidRPr="00F92788">
        <w:rPr>
          <w:rFonts w:ascii="D-DIN" w:hAnsi="D-DIN"/>
          <w:lang w:val="pt-AO"/>
        </w:rPr>
        <w:t>Considerando a natureza da sua atividade de intermediação financeira e de prestação de serviços de investimento, a MADZ GLOBAL encontra-se exposta a riscos financeiros e não financeiros, cuja gestão assenta nos princípios da prudência, proporcionalidade, transparência e proteção dos interesses dos clientes e do mercado.</w:t>
      </w:r>
    </w:p>
    <w:p w14:paraId="759C6FE9" w14:textId="50D1505E" w:rsidR="00102C49" w:rsidRPr="00102C49" w:rsidRDefault="00102C49" w:rsidP="00764FD5">
      <w:pPr>
        <w:pStyle w:val="PargrafodaLista"/>
        <w:numPr>
          <w:ilvl w:val="1"/>
          <w:numId w:val="29"/>
        </w:numPr>
        <w:spacing w:line="360" w:lineRule="auto"/>
        <w:jc w:val="both"/>
        <w:rPr>
          <w:rFonts w:ascii="D-DIN" w:hAnsi="D-DIN"/>
          <w:lang w:val="pt-AO"/>
        </w:rPr>
      </w:pPr>
      <w:r w:rsidRPr="00102C49">
        <w:rPr>
          <w:rFonts w:ascii="D-DIN" w:hAnsi="D-DIN"/>
          <w:b/>
          <w:bCs/>
          <w:lang w:val="pt-AO"/>
        </w:rPr>
        <w:t>Classificação dos Riscos da MADZ GLOBAL – SCVM, S.A.</w:t>
      </w:r>
    </w:p>
    <w:p w14:paraId="2A40C2A9" w14:textId="77777777" w:rsid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28" w:name="_Toc232183505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Crédito:</w:t>
      </w:r>
      <w:bookmarkEnd w:id="28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>Baixo,</w:t>
      </w:r>
      <w:r w:rsidRPr="00102C49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102C49">
        <w:rPr>
          <w:rFonts w:ascii="D-DIN" w:hAnsi="D-DIN"/>
          <w:lang w:val="pt-AO"/>
        </w:rPr>
        <w:t>decorrente da limitada concessão de crédito e da adoção de critérios rigorosos de seleção e monitorização de contrapartes.</w:t>
      </w:r>
    </w:p>
    <w:p w14:paraId="4008F4B7" w14:textId="516EFF30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29" w:name="_Toc232183506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lastRenderedPageBreak/>
        <w:t>Risco de Incumprimento (Default):</w:t>
      </w:r>
      <w:bookmarkEnd w:id="29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>Médio,</w:t>
      </w:r>
      <w:r w:rsidRPr="00102C49">
        <w:rPr>
          <w:lang w:val="pt-AO"/>
        </w:rPr>
        <w:t xml:space="preserve"> </w:t>
      </w:r>
      <w:r w:rsidRPr="00102C49">
        <w:rPr>
          <w:rFonts w:ascii="D-DIN" w:hAnsi="D-DIN"/>
          <w:lang w:val="pt-AO"/>
        </w:rPr>
        <w:t>associado principalmente às exposições da carteira própria e às relações com emitentes e instituições financeiras.</w:t>
      </w:r>
    </w:p>
    <w:p w14:paraId="32A0EFF1" w14:textId="60FC5211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0" w:name="_Toc232183507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Concentração:</w:t>
      </w:r>
      <w:bookmarkEnd w:id="30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>Médio</w:t>
      </w:r>
      <w:r w:rsidRPr="00102C49">
        <w:rPr>
          <w:b/>
          <w:bCs/>
          <w:lang w:val="pt-AO"/>
        </w:rPr>
        <w:t>,</w:t>
      </w:r>
      <w:r w:rsidRPr="00102C49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102C49">
        <w:rPr>
          <w:rFonts w:ascii="D-DIN" w:hAnsi="D-DIN"/>
          <w:lang w:val="pt-AO"/>
        </w:rPr>
        <w:t>dependendo da composição da carteira própria, das contrapartes utilizadas e da diversificação das exposições.</w:t>
      </w:r>
    </w:p>
    <w:p w14:paraId="6321B3C2" w14:textId="03842DCE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Style w:val="Ttulo3Carter"/>
          <w:rFonts w:ascii="D-DIN" w:hAnsi="D-DIN"/>
          <w:color w:val="auto"/>
          <w:sz w:val="24"/>
          <w:szCs w:val="24"/>
          <w:lang w:val="pt-AO"/>
        </w:rPr>
      </w:pPr>
      <w:bookmarkStart w:id="31" w:name="_Toc232183508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Contraparte:</w:t>
      </w:r>
      <w:bookmarkEnd w:id="31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>Médio</w:t>
      </w:r>
      <w:r w:rsidRPr="00102C49">
        <w:rPr>
          <w:b/>
          <w:bCs/>
          <w:lang w:val="pt-AO"/>
        </w:rPr>
        <w:t>,</w:t>
      </w:r>
      <w:r w:rsidRPr="00102C49">
        <w:rPr>
          <w:rFonts w:ascii="D-DIN" w:hAnsi="D-DIN"/>
          <w:b/>
          <w:bCs/>
          <w:lang w:val="pt-AO"/>
        </w:rPr>
        <w:t xml:space="preserve"> </w:t>
      </w:r>
      <w:r w:rsidRPr="00102C49">
        <w:rPr>
          <w:rStyle w:val="Ttulo3Carter"/>
          <w:rFonts w:ascii="D-DIN" w:hAnsi="D-DIN"/>
          <w:color w:val="auto"/>
          <w:sz w:val="24"/>
          <w:szCs w:val="24"/>
          <w:lang w:val="pt-AO"/>
        </w:rPr>
        <w:t>decorrente das operações realizadas com instituições financeiras, entidades de liquidação, custódia e demais participantes do mercado.</w:t>
      </w:r>
    </w:p>
    <w:p w14:paraId="1EFA170F" w14:textId="6A02CB63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2" w:name="_Toc232183509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Liquidez:</w:t>
      </w:r>
      <w:bookmarkEnd w:id="32"/>
      <w:r w:rsidRPr="00102C49">
        <w:rPr>
          <w:rFonts w:ascii="D-DIN" w:hAnsi="D-DIN"/>
          <w:b/>
          <w:bCs/>
          <w:lang w:val="pt-AO"/>
        </w:rPr>
        <w:t xml:space="preserve"> Baixo, </w:t>
      </w:r>
      <w:r w:rsidRPr="00102C49">
        <w:rPr>
          <w:rFonts w:ascii="D-DIN" w:hAnsi="D-DIN"/>
          <w:lang w:val="pt-AO"/>
        </w:rPr>
        <w:t>suportado pela manutenção de níveis adequados de ativos líquidos e pela monitorização contínua dos fluxos financeiros.</w:t>
      </w:r>
    </w:p>
    <w:p w14:paraId="7B535E68" w14:textId="5FE5CEB7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3" w:name="_Toc232183510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Solvabilidade:</w:t>
      </w:r>
      <w:bookmarkEnd w:id="33"/>
      <w:r w:rsidRPr="00102C49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 xml:space="preserve">Baixo, </w:t>
      </w:r>
      <w:r w:rsidRPr="00102C49">
        <w:rPr>
          <w:rFonts w:ascii="D-DIN" w:hAnsi="D-DIN"/>
          <w:lang w:val="pt-AO"/>
        </w:rPr>
        <w:t>desde que sejam mantidos fundos próprios compatíveis com os requisitos prudenciais e com o perfil de risco da Instituição.</w:t>
      </w:r>
    </w:p>
    <w:p w14:paraId="4859B251" w14:textId="7ACEC21E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4" w:name="_Toc232183511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Taxa de Juro:</w:t>
      </w:r>
      <w:bookmarkEnd w:id="34"/>
      <w:r w:rsidRPr="00102C49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 xml:space="preserve">Baixo, </w:t>
      </w:r>
      <w:r w:rsidRPr="00102C49">
        <w:rPr>
          <w:rFonts w:ascii="D-DIN" w:hAnsi="D-DIN"/>
          <w:lang w:val="pt-AO"/>
        </w:rPr>
        <w:t>em função da reduzida exposição estrutural da MADZ GLOBAL a instrumentos sensíveis a variações significativas das taxas de juro.</w:t>
      </w:r>
    </w:p>
    <w:p w14:paraId="341AB50D" w14:textId="30ED9D4F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5" w:name="_Toc232183512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Taxa de Câmbio:</w:t>
      </w:r>
      <w:bookmarkEnd w:id="35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 xml:space="preserve">Médio, </w:t>
      </w:r>
      <w:r w:rsidRPr="00102C49">
        <w:rPr>
          <w:rFonts w:ascii="D-DIN" w:hAnsi="D-DIN"/>
          <w:lang w:val="pt-AO"/>
        </w:rPr>
        <w:t>decorrente da existência potencial de posições ou operações denominadas em moeda estrangeira.</w:t>
      </w:r>
    </w:p>
    <w:p w14:paraId="7FA09593" w14:textId="730CDAF1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6" w:name="_Toc232183513"/>
      <w:r w:rsidRPr="00102C49">
        <w:rPr>
          <w:rStyle w:val="Ttulo3Carter"/>
          <w:rFonts w:ascii="D-DIN" w:hAnsi="D-DIN"/>
          <w:b/>
          <w:bCs/>
          <w:color w:val="auto"/>
          <w:lang w:val="pt-AO"/>
        </w:rPr>
        <w:t>Risco de Mercado:</w:t>
      </w:r>
      <w:bookmarkEnd w:id="36"/>
      <w:r w:rsidRPr="00102C49">
        <w:rPr>
          <w:rFonts w:ascii="D-DIN" w:hAnsi="D-DIN"/>
          <w:b/>
          <w:bCs/>
          <w:lang w:val="pt-AO"/>
        </w:rPr>
        <w:t xml:space="preserve"> Médio, </w:t>
      </w:r>
      <w:r w:rsidRPr="00102C49">
        <w:rPr>
          <w:rFonts w:ascii="D-DIN" w:hAnsi="D-DIN"/>
          <w:lang w:val="pt-AO"/>
        </w:rPr>
        <w:t>associado às oscilações dos preços dos instrumentos financeiros detidos na carteira própria ou utilizados no âmbito das atividades da Instituição.</w:t>
      </w:r>
    </w:p>
    <w:p w14:paraId="4E973125" w14:textId="3B1E36D9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7" w:name="_Toc232183514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Operacional:</w:t>
      </w:r>
      <w:bookmarkEnd w:id="37"/>
      <w:r w:rsidRPr="00102C49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 xml:space="preserve">Alto, </w:t>
      </w:r>
      <w:r w:rsidRPr="00102C49">
        <w:rPr>
          <w:rFonts w:ascii="D-DIN" w:hAnsi="D-DIN"/>
          <w:lang w:val="pt-AO"/>
        </w:rPr>
        <w:t>considerando a dependência de processos internos, sistemas tecnológicos, recursos humanos e controlos operacionais.</w:t>
      </w:r>
    </w:p>
    <w:p w14:paraId="19454551" w14:textId="59EA2B43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8" w:name="_Toc232183515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Tecnológico:</w:t>
      </w:r>
      <w:bookmarkEnd w:id="38"/>
      <w:r w:rsidRPr="00102C49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102C49">
        <w:rPr>
          <w:rFonts w:ascii="D-DIN" w:hAnsi="D-DIN"/>
          <w:b/>
          <w:bCs/>
          <w:lang w:val="pt-AO"/>
        </w:rPr>
        <w:t xml:space="preserve">Alto, </w:t>
      </w:r>
      <w:r w:rsidRPr="00102C49">
        <w:rPr>
          <w:rFonts w:ascii="D-DIN" w:hAnsi="D-DIN"/>
          <w:lang w:val="pt-AO"/>
        </w:rPr>
        <w:t>devido à crescente dependência de sistemas de informação, plataformas tecnológicas, segurança cibernética e continuidade dos serviços digitais.</w:t>
      </w:r>
    </w:p>
    <w:p w14:paraId="1180E4FC" w14:textId="55CE3968" w:rsidR="00102C49" w:rsidRPr="00102C49" w:rsidRDefault="00102C49" w:rsidP="00102C49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39" w:name="_Toc232183516"/>
      <w:r w:rsidRPr="00102C49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Estratégico:</w:t>
      </w:r>
      <w:bookmarkEnd w:id="39"/>
      <w:r w:rsidRPr="00102C49">
        <w:rPr>
          <w:rFonts w:ascii="D-DIN" w:hAnsi="D-DIN"/>
          <w:b/>
          <w:bCs/>
          <w:lang w:val="pt-AO"/>
        </w:rPr>
        <w:t xml:space="preserve"> Médio, </w:t>
      </w:r>
      <w:r w:rsidRPr="00102C49">
        <w:rPr>
          <w:rFonts w:ascii="D-DIN" w:hAnsi="D-DIN"/>
          <w:lang w:val="pt-AO"/>
        </w:rPr>
        <w:t>relacionado com alterações do ambiente económico, regulatório, tecnológico e concorrencial.</w:t>
      </w:r>
    </w:p>
    <w:p w14:paraId="4AD4EA8E" w14:textId="77777777" w:rsid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0" w:name="_Toc232183517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Reputação:</w:t>
      </w:r>
      <w:bookmarkEnd w:id="40"/>
      <w:r w:rsidRPr="000A32C8">
        <w:rPr>
          <w:rFonts w:ascii="D-DIN" w:hAnsi="D-DIN"/>
          <w:b/>
          <w:bCs/>
          <w:lang w:val="pt-AO"/>
        </w:rPr>
        <w:t xml:space="preserve"> Alto, </w:t>
      </w:r>
      <w:r w:rsidRPr="000A32C8">
        <w:rPr>
          <w:rFonts w:ascii="D-DIN" w:hAnsi="D-DIN"/>
          <w:lang w:val="pt-AO"/>
        </w:rPr>
        <w:t>em virtude da relevância da confiança dos clientes, investidores, reguladores e demais participantes do mercado para a sustentabilidade do negócio.</w:t>
      </w:r>
    </w:p>
    <w:p w14:paraId="7ADF0A81" w14:textId="6E3D9047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1" w:name="_Toc232183518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Conformidade (Compliance):</w:t>
      </w:r>
      <w:bookmarkEnd w:id="41"/>
      <w:r w:rsidRPr="000A32C8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Alto, </w:t>
      </w:r>
      <w:r w:rsidRPr="000A32C8">
        <w:rPr>
          <w:rFonts w:ascii="D-DIN" w:hAnsi="D-DIN"/>
          <w:lang w:val="pt-AO"/>
        </w:rPr>
        <w:t>considerando a elevada exigência regulamentar aplicável às sociedades corretoras e ao mercado de capitais.</w:t>
      </w:r>
    </w:p>
    <w:p w14:paraId="59A30334" w14:textId="0F6CB4FB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2" w:name="_Toc232183519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lastRenderedPageBreak/>
        <w:t>Risco Legal e Regulatório:</w:t>
      </w:r>
      <w:bookmarkEnd w:id="42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Alto, </w:t>
      </w:r>
      <w:r w:rsidRPr="000A32C8">
        <w:rPr>
          <w:rFonts w:ascii="D-DIN" w:hAnsi="D-DIN"/>
          <w:lang w:val="pt-AO"/>
        </w:rPr>
        <w:t>decorrente da necessidade de cumprimento permanente do quadro legal e regulamentar aplicável.</w:t>
      </w:r>
    </w:p>
    <w:p w14:paraId="5DBEC3F8" w14:textId="26AE4CDE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3" w:name="_Toc232183520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Branqueamento de Capitais, Financiamento do Terrorismo e da Proliferação de Armas de Destruição em Massa (BC/FT/PADM):</w:t>
      </w:r>
      <w:bookmarkEnd w:id="43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Alto, </w:t>
      </w:r>
      <w:r w:rsidRPr="000A32C8">
        <w:rPr>
          <w:rFonts w:ascii="D-DIN" w:hAnsi="D-DIN"/>
          <w:lang w:val="pt-AO"/>
        </w:rPr>
        <w:t>exigindo mecanismos robustos de prevenção, monitorização e reporte.</w:t>
      </w:r>
    </w:p>
    <w:p w14:paraId="7A70F860" w14:textId="033500CA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4" w:name="_Toc232183521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Ambiental, Social e de Governação (ESG):</w:t>
      </w:r>
      <w:bookmarkEnd w:id="44"/>
      <w:r w:rsidRPr="000A32C8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Médio, </w:t>
      </w:r>
      <w:r w:rsidRPr="000A32C8">
        <w:rPr>
          <w:rFonts w:ascii="D-DIN" w:hAnsi="D-DIN"/>
          <w:lang w:val="pt-AO"/>
        </w:rPr>
        <w:t>com tendência crescente em função da evolução das exigências regulatórias e das expectativas dos stakeholders.</w:t>
      </w:r>
    </w:p>
    <w:p w14:paraId="5AF581AB" w14:textId="5D2FFF1E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5" w:name="_Toc232183522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Continuidade de Negócio:</w:t>
      </w:r>
      <w:bookmarkEnd w:id="45"/>
      <w:r w:rsidRPr="000A32C8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Médio, </w:t>
      </w:r>
      <w:r w:rsidRPr="000A32C8">
        <w:rPr>
          <w:rFonts w:ascii="D-DIN" w:hAnsi="D-DIN"/>
          <w:lang w:val="pt-AO"/>
        </w:rPr>
        <w:t>mitigado pela existência de planos de continuidade e recuperação em caso de desastre.</w:t>
      </w:r>
    </w:p>
    <w:p w14:paraId="177C74A2" w14:textId="03EB5C39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6" w:name="_Toc232183523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Terceirização (Outsourcing):</w:t>
      </w:r>
      <w:bookmarkEnd w:id="46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Médio, </w:t>
      </w:r>
      <w:r w:rsidRPr="000A32C8">
        <w:rPr>
          <w:rFonts w:ascii="D-DIN" w:hAnsi="D-DIN"/>
          <w:lang w:val="pt-AO"/>
        </w:rPr>
        <w:t>associado à dependência de prestadores de serviços críticos e fornecedores tecnológicos.</w:t>
      </w:r>
    </w:p>
    <w:p w14:paraId="1C9339D4" w14:textId="59F88C18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lang w:val="pt-AO"/>
        </w:rPr>
      </w:pPr>
      <w:bookmarkStart w:id="47" w:name="_Toc232183524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Conduta:</w:t>
      </w:r>
      <w:bookmarkEnd w:id="47"/>
      <w:r w:rsidRPr="000A32C8">
        <w:rPr>
          <w:rFonts w:ascii="D-DIN" w:hAnsi="D-DIN"/>
          <w:b/>
          <w:bCs/>
          <w:sz w:val="22"/>
          <w:szCs w:val="22"/>
          <w:lang w:val="pt-AO"/>
        </w:rPr>
        <w:t xml:space="preserve"> </w:t>
      </w:r>
      <w:r w:rsidRPr="000A32C8">
        <w:rPr>
          <w:rFonts w:ascii="D-DIN" w:hAnsi="D-DIN"/>
          <w:b/>
          <w:bCs/>
          <w:lang w:val="pt-AO"/>
        </w:rPr>
        <w:t xml:space="preserve">Alto, </w:t>
      </w:r>
      <w:r w:rsidRPr="000A32C8">
        <w:rPr>
          <w:rFonts w:ascii="D-DIN" w:hAnsi="D-DIN"/>
          <w:lang w:val="pt-AO"/>
        </w:rPr>
        <w:t>decorrente da interação com clientes, investidores e demais participantes do mercado.</w:t>
      </w:r>
    </w:p>
    <w:p w14:paraId="571E3EB9" w14:textId="77FBF7D8" w:rsidR="00102C49" w:rsidRPr="000A32C8" w:rsidRDefault="00102C49" w:rsidP="000A32C8">
      <w:pPr>
        <w:pStyle w:val="PargrafodaLista"/>
        <w:numPr>
          <w:ilvl w:val="0"/>
          <w:numId w:val="17"/>
        </w:numPr>
        <w:spacing w:line="360" w:lineRule="auto"/>
        <w:jc w:val="both"/>
        <w:rPr>
          <w:rFonts w:ascii="D-DIN" w:hAnsi="D-DIN"/>
          <w:b/>
          <w:bCs/>
          <w:lang w:val="pt-AO"/>
        </w:rPr>
      </w:pPr>
      <w:bookmarkStart w:id="48" w:name="_Toc232183525"/>
      <w:r w:rsidRPr="000A32C8">
        <w:rPr>
          <w:rStyle w:val="Ttulo3Carter"/>
          <w:rFonts w:ascii="D-DIN" w:hAnsi="D-DIN"/>
          <w:b/>
          <w:bCs/>
          <w:color w:val="auto"/>
          <w:sz w:val="24"/>
          <w:szCs w:val="24"/>
          <w:lang w:val="pt-AO"/>
        </w:rPr>
        <w:t>Risco de Modelo</w:t>
      </w:r>
      <w:bookmarkEnd w:id="48"/>
      <w:r w:rsidRPr="000A32C8">
        <w:rPr>
          <w:rFonts w:ascii="D-DIN" w:hAnsi="D-DIN"/>
          <w:b/>
          <w:bCs/>
          <w:lang w:val="pt-AO"/>
        </w:rPr>
        <w:t xml:space="preserve">: Baixo, </w:t>
      </w:r>
      <w:r w:rsidRPr="000A32C8">
        <w:rPr>
          <w:rFonts w:ascii="D-DIN" w:hAnsi="D-DIN"/>
          <w:lang w:val="pt-AO"/>
        </w:rPr>
        <w:t>em função da utilização limitada de modelos quantitativos complexos nos processos de decisão e gestão.</w:t>
      </w:r>
    </w:p>
    <w:p w14:paraId="6B5EA027" w14:textId="77777777" w:rsidR="00F92788" w:rsidRPr="00F92788" w:rsidRDefault="00F92788" w:rsidP="00F92788">
      <w:pPr>
        <w:spacing w:line="360" w:lineRule="auto"/>
        <w:jc w:val="both"/>
        <w:rPr>
          <w:rFonts w:ascii="D-DIN" w:hAnsi="D-DIN"/>
          <w:lang w:val="pt-AO"/>
        </w:rPr>
      </w:pPr>
      <w:r w:rsidRPr="00F92788">
        <w:rPr>
          <w:rFonts w:ascii="D-DIN" w:hAnsi="D-DIN"/>
          <w:lang w:val="pt-AO"/>
        </w:rPr>
        <w:t>A MADZ GLOBAL adota uma postura de tolerância reduzida relativamente aos riscos de Conformidade, BC/FT/PADM, Reputação, Tecnológico e Operacional, procurando manter níveis de exposição compatíveis com a sua capacidade financeira, operacional e de governação, assegurando a proteção dos clientes, a integridade do mercado e a sustentabilidade do negócio.</w:t>
      </w:r>
    </w:p>
    <w:p w14:paraId="425EBAA0" w14:textId="5108B045" w:rsidR="00142746" w:rsidRPr="00ED7E30" w:rsidRDefault="00142746" w:rsidP="00764FD5">
      <w:pPr>
        <w:pStyle w:val="Ttulo1"/>
        <w:numPr>
          <w:ilvl w:val="0"/>
          <w:numId w:val="29"/>
        </w:numPr>
        <w:jc w:val="both"/>
        <w:rPr>
          <w:rFonts w:ascii="D-DIN" w:hAnsi="D-DIN"/>
          <w:b/>
          <w:bCs/>
          <w:color w:val="auto"/>
          <w:sz w:val="28"/>
          <w:szCs w:val="28"/>
        </w:rPr>
      </w:pPr>
      <w:bookmarkStart w:id="49" w:name="_Toc232183526"/>
      <w:r w:rsidRPr="00ED7E30">
        <w:rPr>
          <w:rFonts w:ascii="D-DIN" w:hAnsi="D-DIN"/>
          <w:b/>
          <w:bCs/>
          <w:color w:val="auto"/>
          <w:sz w:val="28"/>
          <w:szCs w:val="28"/>
        </w:rPr>
        <w:t>Aspectos gerais do sistema de gestão de risco:</w:t>
      </w:r>
      <w:bookmarkEnd w:id="49"/>
    </w:p>
    <w:p w14:paraId="472A5CF9" w14:textId="6FA550FF" w:rsidR="00142746" w:rsidRPr="00ED7E30" w:rsidRDefault="00142746" w:rsidP="00ED7E30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0" w:name="_Toc232183527"/>
      <w:r w:rsidRPr="006642D9">
        <w:rPr>
          <w:rStyle w:val="Ttulo3Carter"/>
          <w:rFonts w:ascii="D-DIN" w:hAnsi="D-DIN"/>
          <w:b/>
          <w:bCs/>
          <w:color w:val="auto"/>
          <w:sz w:val="24"/>
          <w:szCs w:val="24"/>
        </w:rPr>
        <w:t>Integração na Gestão de uma Cultura de Riscos:</w:t>
      </w:r>
      <w:bookmarkEnd w:id="50"/>
      <w:r w:rsidRPr="006642D9">
        <w:rPr>
          <w:rFonts w:ascii="D-DIN" w:hAnsi="D-DIN"/>
          <w:sz w:val="22"/>
          <w:szCs w:val="22"/>
        </w:rPr>
        <w:t xml:space="preserve"> </w:t>
      </w:r>
      <w:r w:rsidRPr="00ED7E30">
        <w:rPr>
          <w:rFonts w:ascii="D-DIN" w:hAnsi="D-DIN"/>
        </w:rPr>
        <w:t xml:space="preserve">a promoção de uma forte cultura de riscos na </w:t>
      </w:r>
      <w:r w:rsidR="00BB1495" w:rsidRPr="00ED7E30">
        <w:rPr>
          <w:rFonts w:ascii="D-DIN" w:hAnsi="D-DIN"/>
        </w:rPr>
        <w:t>MADZ GLOBAL</w:t>
      </w:r>
      <w:r w:rsidRPr="00ED7E30">
        <w:rPr>
          <w:rFonts w:ascii="D-DIN" w:hAnsi="D-DIN"/>
        </w:rPr>
        <w:t>, que se estenda a todas as unidades e colaboradores, para além de abranger todos os tipos de riscos, é um factor fundamental para a adequada gestão dos mesmos. Esta cultura de riscos inclui um conjunto de atitudes, valores, competências e directrizes de actuação perante os riscos que se integram em todos os processos, incluindo os de tomada de decisão de gestão de mudança, planeamento estratégico e de negócios.</w:t>
      </w:r>
    </w:p>
    <w:p w14:paraId="3F3D95EC" w14:textId="2AFF57BB" w:rsidR="00142746" w:rsidRPr="00ED7E30" w:rsidRDefault="00142746" w:rsidP="00ED7E30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1" w:name="_Toc232183528"/>
      <w:r w:rsidRPr="00B6614D">
        <w:rPr>
          <w:rStyle w:val="Ttulo3Carter"/>
          <w:rFonts w:ascii="D-DIN" w:hAnsi="D-DIN"/>
          <w:b/>
          <w:bCs/>
          <w:color w:val="auto"/>
          <w:sz w:val="24"/>
          <w:szCs w:val="24"/>
        </w:rPr>
        <w:t>Envolvimento dos Órgãos de Gestão:</w:t>
      </w:r>
      <w:bookmarkEnd w:id="51"/>
      <w:r w:rsidRPr="00B6614D">
        <w:rPr>
          <w:rFonts w:ascii="D-DIN" w:hAnsi="D-DIN"/>
          <w:sz w:val="22"/>
          <w:szCs w:val="22"/>
        </w:rPr>
        <w:t xml:space="preserve"> </w:t>
      </w:r>
      <w:r w:rsidRPr="00ED7E30">
        <w:rPr>
          <w:rFonts w:ascii="D-DIN" w:hAnsi="D-DIN"/>
        </w:rPr>
        <w:t xml:space="preserve">no desenvolvimento e implementação da cultura de Gestão de Riscos, assim como na gestão e controlo dos riscos, é </w:t>
      </w:r>
      <w:r w:rsidRPr="00ED7E30">
        <w:rPr>
          <w:rFonts w:ascii="D-DIN" w:hAnsi="D-DIN"/>
        </w:rPr>
        <w:lastRenderedPageBreak/>
        <w:t>essencial o envolvimento directo dos órgãos da Administração e de toda as Unidades de Estrutura.</w:t>
      </w:r>
    </w:p>
    <w:p w14:paraId="38AD53EE" w14:textId="150F0C0B" w:rsidR="00142746" w:rsidRPr="00ED7E30" w:rsidRDefault="00142746" w:rsidP="00ED7E30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2" w:name="_Toc232183529"/>
      <w:r w:rsidRPr="00B6614D">
        <w:rPr>
          <w:rStyle w:val="Ttulo3Carter"/>
          <w:rFonts w:ascii="D-DIN" w:hAnsi="D-DIN"/>
          <w:b/>
          <w:bCs/>
          <w:color w:val="auto"/>
          <w:sz w:val="24"/>
          <w:szCs w:val="24"/>
        </w:rPr>
        <w:t>Independência da Função de Gestão de Riscos:</w:t>
      </w:r>
      <w:bookmarkEnd w:id="52"/>
      <w:r w:rsidRPr="00B6614D">
        <w:rPr>
          <w:rFonts w:ascii="D-DIN" w:hAnsi="D-DIN"/>
        </w:rPr>
        <w:t xml:space="preserve"> </w:t>
      </w:r>
      <w:r w:rsidRPr="00ED7E30">
        <w:rPr>
          <w:rFonts w:ascii="D-DIN" w:hAnsi="D-DIN"/>
        </w:rPr>
        <w:t>a função de Gestão de Riscos desenvolve a sua actividade de forma independente de outras funções, cobrindo todos os riscos e salvaguardando uma adequada separação entre as áreas de negócio e suporte (geradoras de risco) e as áreas responsáveis pelo seu controlo e supervisão (encarregadas de medir, analisar, controlar e gerar informação de riscos).</w:t>
      </w:r>
    </w:p>
    <w:p w14:paraId="55CEA40B" w14:textId="64977704" w:rsidR="005B7209" w:rsidRPr="00ED7E30" w:rsidRDefault="00142746" w:rsidP="00ED7E30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r w:rsidRPr="00B6614D">
        <w:rPr>
          <w:rFonts w:ascii="D-DIN" w:hAnsi="D-DIN"/>
          <w:b/>
          <w:bCs/>
        </w:rPr>
        <w:t>Homogeneidade:</w:t>
      </w:r>
      <w:r w:rsidRPr="00ED7E30">
        <w:rPr>
          <w:rFonts w:ascii="D-DIN" w:hAnsi="D-DIN"/>
        </w:rPr>
        <w:t xml:space="preserve"> um elemento-chave na implementação da actividade de Gestão de Risco da </w:t>
      </w:r>
      <w:r w:rsidR="00BB1495" w:rsidRPr="00ED7E30">
        <w:rPr>
          <w:rFonts w:ascii="D-DIN" w:hAnsi="D-DIN"/>
        </w:rPr>
        <w:t>MADZ GLOBAL</w:t>
      </w:r>
      <w:r w:rsidRPr="00ED7E30">
        <w:rPr>
          <w:rFonts w:ascii="D-DIN" w:hAnsi="D-DIN"/>
        </w:rPr>
        <w:t xml:space="preserve"> e de acordo com as melhores práticas e requisitos regulamentares, é o uso de instrumentos de gestão comuns. </w:t>
      </w:r>
    </w:p>
    <w:p w14:paraId="6C799917" w14:textId="64E5211B" w:rsidR="00142746" w:rsidRPr="00ED7E30" w:rsidRDefault="00142746" w:rsidP="00764FD5">
      <w:pPr>
        <w:pStyle w:val="Ttulo1"/>
        <w:numPr>
          <w:ilvl w:val="0"/>
          <w:numId w:val="29"/>
        </w:numPr>
        <w:rPr>
          <w:rFonts w:ascii="D-DIN" w:hAnsi="D-DIN"/>
          <w:b/>
          <w:bCs/>
          <w:color w:val="auto"/>
          <w:sz w:val="28"/>
          <w:szCs w:val="28"/>
        </w:rPr>
      </w:pPr>
      <w:bookmarkStart w:id="53" w:name="_Toc232183530"/>
      <w:r w:rsidRPr="00ED7E30">
        <w:rPr>
          <w:rFonts w:ascii="D-DIN" w:hAnsi="D-DIN"/>
          <w:b/>
          <w:bCs/>
          <w:color w:val="auto"/>
          <w:sz w:val="28"/>
          <w:szCs w:val="28"/>
        </w:rPr>
        <w:t xml:space="preserve">Para o adequado exercício da actividade de Gestão de Risco da </w:t>
      </w:r>
      <w:r w:rsidR="00BB1495" w:rsidRPr="00ED7E30">
        <w:rPr>
          <w:rFonts w:ascii="D-DIN" w:hAnsi="D-DIN"/>
          <w:b/>
          <w:bCs/>
          <w:color w:val="auto"/>
          <w:sz w:val="28"/>
          <w:szCs w:val="28"/>
        </w:rPr>
        <w:t>MADZ GLOBAL</w:t>
      </w:r>
      <w:r w:rsidRPr="00ED7E30">
        <w:rPr>
          <w:rFonts w:ascii="D-DIN" w:hAnsi="D-DIN"/>
          <w:b/>
          <w:bCs/>
          <w:color w:val="auto"/>
          <w:sz w:val="28"/>
          <w:szCs w:val="28"/>
        </w:rPr>
        <w:t xml:space="preserve"> são considerados, no mínimo, os seguintes elementos:</w:t>
      </w:r>
      <w:bookmarkEnd w:id="53"/>
    </w:p>
    <w:p w14:paraId="0FF2FA13" w14:textId="75174E9E" w:rsidR="00142746" w:rsidRPr="00ED7E30" w:rsidRDefault="00142746" w:rsidP="00ED7E30">
      <w:pPr>
        <w:pStyle w:val="PargrafodaLista"/>
        <w:numPr>
          <w:ilvl w:val="0"/>
          <w:numId w:val="21"/>
        </w:numPr>
        <w:spacing w:line="360" w:lineRule="auto"/>
        <w:jc w:val="both"/>
        <w:rPr>
          <w:rFonts w:ascii="D-DIN" w:hAnsi="D-DIN"/>
        </w:rPr>
      </w:pPr>
      <w:r w:rsidRPr="00ED7E30">
        <w:rPr>
          <w:rFonts w:ascii="D-DIN" w:hAnsi="D-DIN"/>
        </w:rPr>
        <w:t>Um processo regular de identificação e avaliação de todos os riscos;</w:t>
      </w:r>
    </w:p>
    <w:p w14:paraId="777061F9" w14:textId="7F1C78B2" w:rsidR="00142746" w:rsidRPr="00ED7E30" w:rsidRDefault="00142746" w:rsidP="00ED7E30">
      <w:pPr>
        <w:pStyle w:val="PargrafodaLista"/>
        <w:numPr>
          <w:ilvl w:val="0"/>
          <w:numId w:val="21"/>
        </w:numPr>
        <w:spacing w:line="360" w:lineRule="auto"/>
        <w:jc w:val="both"/>
        <w:rPr>
          <w:rFonts w:ascii="D-DIN" w:hAnsi="D-DIN"/>
        </w:rPr>
      </w:pPr>
      <w:r w:rsidRPr="00ED7E30">
        <w:rPr>
          <w:rFonts w:ascii="D-DIN" w:hAnsi="D-DIN"/>
        </w:rPr>
        <w:t>Um processo regular de simulação da evolução dos elementos relevantes de risco e o seu impacto nos resultados;</w:t>
      </w:r>
    </w:p>
    <w:p w14:paraId="2D6B7AB4" w14:textId="4B661670" w:rsidR="00142746" w:rsidRPr="00ED7E30" w:rsidRDefault="00142746" w:rsidP="00ED7E30">
      <w:pPr>
        <w:pStyle w:val="PargrafodaLista"/>
        <w:numPr>
          <w:ilvl w:val="0"/>
          <w:numId w:val="21"/>
        </w:numPr>
        <w:spacing w:line="360" w:lineRule="auto"/>
        <w:jc w:val="both"/>
        <w:rPr>
          <w:rFonts w:ascii="D-DIN" w:hAnsi="D-DIN"/>
        </w:rPr>
      </w:pPr>
      <w:r w:rsidRPr="00ED7E30">
        <w:rPr>
          <w:rFonts w:ascii="D-DIN" w:hAnsi="D-DIN"/>
        </w:rPr>
        <w:t>Um relatório uniforme de informação de risco com formato e métricas comuns ou comparáveis.</w:t>
      </w:r>
    </w:p>
    <w:p w14:paraId="0F4F1EF0" w14:textId="1548C8D6" w:rsidR="00142746" w:rsidRPr="006642D9" w:rsidRDefault="00142746" w:rsidP="006642D9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4" w:name="_Toc232183531"/>
      <w:r w:rsidRPr="00B6614D">
        <w:rPr>
          <w:rStyle w:val="Ttulo3Carter"/>
          <w:rFonts w:ascii="D-DIN" w:hAnsi="D-DIN"/>
          <w:b/>
          <w:bCs/>
          <w:color w:val="auto"/>
          <w:sz w:val="24"/>
          <w:szCs w:val="24"/>
        </w:rPr>
        <w:t>Visão Consolidada:</w:t>
      </w:r>
      <w:bookmarkEnd w:id="54"/>
      <w:r w:rsidRPr="00B6614D">
        <w:rPr>
          <w:rFonts w:ascii="D-DIN" w:hAnsi="D-DIN"/>
          <w:sz w:val="22"/>
          <w:szCs w:val="22"/>
        </w:rPr>
        <w:t xml:space="preserve"> </w:t>
      </w:r>
      <w:r w:rsidRPr="006642D9">
        <w:rPr>
          <w:rFonts w:ascii="D-DIN" w:hAnsi="D-DIN"/>
        </w:rPr>
        <w:t xml:space="preserve">a gestão dos riscos deve garantir uma visão integral e consolidada dos mesmos independentemente da origem do risco. A identificação e avaliação de todos os riscos que possam ter impacto na actividade da </w:t>
      </w:r>
      <w:r w:rsidR="00BB1495" w:rsidRPr="006642D9">
        <w:rPr>
          <w:rFonts w:ascii="D-DIN" w:hAnsi="D-DIN"/>
        </w:rPr>
        <w:t>MADZ GLOBAL</w:t>
      </w:r>
      <w:r w:rsidRPr="006642D9">
        <w:rPr>
          <w:rFonts w:ascii="D-DIN" w:hAnsi="D-DIN"/>
        </w:rPr>
        <w:t xml:space="preserve"> são premissas básicas que permitem a sua gestão e controlo. A visão integral dos riscos é compatível com as diferenças de natureza, grau de desenvolvimento e possibilidades reais de gestão e controlo de cada tipo de risco, adaptando a </w:t>
      </w:r>
      <w:r w:rsidR="00BB1495" w:rsidRPr="006642D9">
        <w:rPr>
          <w:rFonts w:ascii="D-DIN" w:hAnsi="D-DIN"/>
        </w:rPr>
        <w:t>MADZ GLOBAL</w:t>
      </w:r>
      <w:r w:rsidRPr="006642D9">
        <w:rPr>
          <w:rFonts w:ascii="D-DIN" w:hAnsi="D-DIN"/>
        </w:rPr>
        <w:t>, processos, relatórios e ferramentas para as características de cada um.</w:t>
      </w:r>
    </w:p>
    <w:p w14:paraId="6962A4F7" w14:textId="604B0B48" w:rsidR="00142746" w:rsidRPr="006642D9" w:rsidRDefault="00142746" w:rsidP="006642D9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5" w:name="_Toc232183532"/>
      <w:r w:rsidRPr="00B6614D">
        <w:rPr>
          <w:rStyle w:val="Ttulo3Carter"/>
          <w:rFonts w:ascii="D-DIN" w:hAnsi="D-DIN"/>
          <w:b/>
          <w:bCs/>
          <w:color w:val="auto"/>
          <w:sz w:val="24"/>
          <w:szCs w:val="24"/>
        </w:rPr>
        <w:t>Limitação de Riscos:</w:t>
      </w:r>
      <w:bookmarkEnd w:id="55"/>
      <w:r w:rsidRPr="00B6614D">
        <w:rPr>
          <w:rFonts w:ascii="D-DIN" w:hAnsi="D-DIN"/>
        </w:rPr>
        <w:t xml:space="preserve"> </w:t>
      </w:r>
      <w:r w:rsidRPr="006642D9">
        <w:rPr>
          <w:rFonts w:ascii="D-DIN" w:hAnsi="D-DIN"/>
        </w:rPr>
        <w:t xml:space="preserve">o processo de Gestão de Riscos assenta na análise e controlo das posições de risco actuais e potenciais, bem como na sua comparação com uma estrutura de limites compreensível. Adicionalmente, exige a avaliação das implicações e das contingências de todos os riscos, bem como a tomada de </w:t>
      </w:r>
      <w:r w:rsidRPr="006642D9">
        <w:rPr>
          <w:rFonts w:ascii="D-DIN" w:hAnsi="D-DIN"/>
        </w:rPr>
        <w:lastRenderedPageBreak/>
        <w:t>decisões orientadas para a modificação dos limites estabelecidos, se os mesmos já não estiverem em consonância com a filosofia de risco.</w:t>
      </w:r>
    </w:p>
    <w:p w14:paraId="5665BCB8" w14:textId="164B774D" w:rsidR="00142746" w:rsidRPr="00142746" w:rsidRDefault="00142746" w:rsidP="00142746">
      <w:pPr>
        <w:spacing w:line="360" w:lineRule="auto"/>
        <w:jc w:val="both"/>
        <w:rPr>
          <w:rFonts w:ascii="D-DIN" w:hAnsi="D-DIN"/>
        </w:rPr>
      </w:pPr>
      <w:r w:rsidRPr="00142746">
        <w:rPr>
          <w:rFonts w:ascii="D-DIN" w:hAnsi="D-DIN"/>
        </w:rPr>
        <w:t>Todos os riscos incorridos devem estar sujeitos a limites objectivos, verificáveis e consistentes com a tolerância ao risco, tanto no que diz respeito aos tipos de riscos</w:t>
      </w:r>
    </w:p>
    <w:p w14:paraId="1805C5DF" w14:textId="77777777" w:rsidR="00142746" w:rsidRPr="00142746" w:rsidRDefault="00142746" w:rsidP="00142746">
      <w:pPr>
        <w:spacing w:line="360" w:lineRule="auto"/>
        <w:jc w:val="both"/>
        <w:rPr>
          <w:rFonts w:ascii="D-DIN" w:hAnsi="D-DIN"/>
        </w:rPr>
      </w:pPr>
      <w:r w:rsidRPr="00142746">
        <w:rPr>
          <w:rFonts w:ascii="D-DIN" w:hAnsi="D-DIN"/>
        </w:rPr>
        <w:t>admissíveis, como aos níveis de risco quantitativos. Os limites serão alocados para os diversos tipos de risco, as diversas actividades e negócios, estabelecendo níveis de tolerância consistentes com a sua natureza.</w:t>
      </w:r>
    </w:p>
    <w:p w14:paraId="3084CC7C" w14:textId="0B03B6F6" w:rsidR="00142746" w:rsidRPr="0091553A" w:rsidRDefault="0091553A" w:rsidP="0091553A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r w:rsidRPr="0091553A">
        <w:rPr>
          <w:rStyle w:val="Ttulo3Carter"/>
          <w:rFonts w:ascii="D-DIN" w:hAnsi="D-DIN"/>
          <w:b/>
          <w:bCs/>
          <w:color w:val="auto"/>
          <w:sz w:val="24"/>
          <w:szCs w:val="24"/>
        </w:rPr>
        <w:t xml:space="preserve"> </w:t>
      </w:r>
      <w:bookmarkStart w:id="56" w:name="_Toc232183533"/>
      <w:r w:rsidR="00142746" w:rsidRPr="0091553A">
        <w:rPr>
          <w:rStyle w:val="Ttulo3Carter"/>
          <w:rFonts w:ascii="D-DIN" w:hAnsi="D-DIN"/>
          <w:b/>
          <w:bCs/>
          <w:color w:val="auto"/>
          <w:sz w:val="24"/>
          <w:szCs w:val="24"/>
        </w:rPr>
        <w:t>Antecipação e Previsibilidade:</w:t>
      </w:r>
      <w:bookmarkEnd w:id="56"/>
      <w:r w:rsidR="00142746" w:rsidRPr="0091553A">
        <w:rPr>
          <w:rFonts w:ascii="D-DIN" w:hAnsi="D-DIN"/>
          <w:sz w:val="22"/>
          <w:szCs w:val="22"/>
        </w:rPr>
        <w:t xml:space="preserve"> </w:t>
      </w:r>
      <w:r w:rsidR="00142746" w:rsidRPr="0091553A">
        <w:rPr>
          <w:rFonts w:ascii="D-DIN" w:hAnsi="D-DIN"/>
        </w:rPr>
        <w:t>a avaliação de risco tem uma vocação eminentemente de antecipação, a fim de estimar a evolução dos riscos em diferentes cenários e horizontes temporais. Sempre que possível, deverá procurar-se que a avaliação do risco inclua a sua quantificação ou medição. A quantificação do risco deve basear-se na utilização generalizada de modelos.</w:t>
      </w:r>
    </w:p>
    <w:p w14:paraId="7EC86C8C" w14:textId="77777777" w:rsidR="0091553A" w:rsidRDefault="00142746" w:rsidP="00142746">
      <w:pPr>
        <w:spacing w:line="360" w:lineRule="auto"/>
        <w:jc w:val="both"/>
        <w:rPr>
          <w:rFonts w:ascii="D-DIN" w:hAnsi="D-DIN"/>
        </w:rPr>
      </w:pPr>
      <w:r w:rsidRPr="00142746">
        <w:rPr>
          <w:rFonts w:ascii="D-DIN" w:hAnsi="D-DIN"/>
        </w:rPr>
        <w:t>Em casos onde não seja possível a modelização e quantificação dos riscos, a avaliação de risco deve basear-se na identificação dos elementos que podem ter maior incidência sobre a probabilidade de ocorrência de um evento de perda e no impacto do mesmo, a fim de possibilitar a implementação de controlos e medidas de mitigação.</w:t>
      </w:r>
    </w:p>
    <w:p w14:paraId="7746B2B4" w14:textId="3F2247EB" w:rsidR="00142746" w:rsidRPr="0091553A" w:rsidRDefault="00142746" w:rsidP="0091553A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7" w:name="_Toc232183534"/>
      <w:r w:rsidRPr="0091553A">
        <w:rPr>
          <w:rStyle w:val="Ttulo3Carter"/>
          <w:rFonts w:ascii="D-DIN" w:hAnsi="D-DIN"/>
          <w:b/>
          <w:bCs/>
          <w:color w:val="auto"/>
          <w:sz w:val="24"/>
          <w:szCs w:val="24"/>
        </w:rPr>
        <w:t>Canais de Informação e de Reporte Eficientes:</w:t>
      </w:r>
      <w:bookmarkEnd w:id="57"/>
      <w:r w:rsidRPr="0091553A">
        <w:rPr>
          <w:rStyle w:val="Ttulo3Carter"/>
          <w:rFonts w:ascii="D-DIN" w:hAnsi="D-DIN"/>
          <w:b/>
          <w:bCs/>
          <w:color w:val="auto"/>
          <w:sz w:val="24"/>
          <w:szCs w:val="24"/>
        </w:rPr>
        <w:t xml:space="preserve"> </w:t>
      </w:r>
      <w:r w:rsidRPr="0091553A">
        <w:rPr>
          <w:rFonts w:ascii="D-DIN" w:hAnsi="D-DIN"/>
        </w:rPr>
        <w:t xml:space="preserve">a actividade de Gestão de Risco requer o estabelecimento de canais e sistemas que cubram todos os riscos relevantes que a </w:t>
      </w:r>
      <w:r w:rsidR="00BB1495" w:rsidRPr="0091553A">
        <w:rPr>
          <w:rFonts w:ascii="D-DIN" w:hAnsi="D-DIN"/>
        </w:rPr>
        <w:t>MADZ GLOBAL</w:t>
      </w:r>
      <w:r w:rsidRPr="0091553A">
        <w:rPr>
          <w:rFonts w:ascii="D-DIN" w:hAnsi="D-DIN"/>
        </w:rPr>
        <w:t xml:space="preserve"> enfrenta, bem como de informações sobre as políticas e a evolução dos riscos, que permitam a sua agregação e visão consolidadas.</w:t>
      </w:r>
    </w:p>
    <w:p w14:paraId="3E5553F8" w14:textId="07B43B97" w:rsidR="00633561" w:rsidRPr="0091553A" w:rsidRDefault="00142746" w:rsidP="0091553A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D-DIN" w:hAnsi="D-DIN"/>
        </w:rPr>
      </w:pPr>
      <w:bookmarkStart w:id="58" w:name="_Toc232183535"/>
      <w:r w:rsidRPr="0091553A">
        <w:rPr>
          <w:rStyle w:val="Ttulo3Carter"/>
          <w:rFonts w:ascii="D-DIN" w:hAnsi="D-DIN"/>
          <w:b/>
          <w:bCs/>
          <w:color w:val="auto"/>
          <w:sz w:val="24"/>
          <w:szCs w:val="24"/>
        </w:rPr>
        <w:t>Cumprimento dos Requisitos Legais e Normativos:</w:t>
      </w:r>
      <w:bookmarkEnd w:id="58"/>
      <w:r w:rsidRPr="0091553A">
        <w:rPr>
          <w:rFonts w:ascii="D-DIN" w:hAnsi="D-DIN"/>
        </w:rPr>
        <w:t xml:space="preserve"> seguimento e adaptação do normativo, tanto da </w:t>
      </w:r>
      <w:r w:rsidR="00BB1495" w:rsidRPr="0091553A">
        <w:rPr>
          <w:rFonts w:ascii="D-DIN" w:hAnsi="D-DIN"/>
        </w:rPr>
        <w:t>MADZ GLOBAL</w:t>
      </w:r>
      <w:r w:rsidRPr="0091553A">
        <w:rPr>
          <w:rFonts w:ascii="D-DIN" w:hAnsi="D-DIN"/>
        </w:rPr>
        <w:t xml:space="preserve"> como dos produtos, para assegurar sempre um serviço de elevada qualidade e prevenir o risco regulatório.</w:t>
      </w:r>
    </w:p>
    <w:p w14:paraId="642DBC0B" w14:textId="709B7C75" w:rsidR="00EE1853" w:rsidRPr="007D2628" w:rsidRDefault="00EE1853" w:rsidP="00764FD5">
      <w:pPr>
        <w:pStyle w:val="Ttulo3"/>
        <w:numPr>
          <w:ilvl w:val="0"/>
          <w:numId w:val="29"/>
        </w:numPr>
        <w:spacing w:line="360" w:lineRule="auto"/>
        <w:jc w:val="both"/>
        <w:rPr>
          <w:rFonts w:ascii="D-DIN" w:hAnsi="D-DIN"/>
          <w:b/>
          <w:bCs/>
          <w:color w:val="auto"/>
          <w:sz w:val="32"/>
          <w:szCs w:val="36"/>
          <w:lang w:val="pt-BR"/>
        </w:rPr>
      </w:pPr>
      <w:bookmarkStart w:id="59" w:name="_Toc530404058"/>
      <w:bookmarkStart w:id="60" w:name="_Toc194004818"/>
      <w:bookmarkStart w:id="61" w:name="_Toc232183536"/>
      <w:r w:rsidRPr="007D2628">
        <w:rPr>
          <w:rFonts w:ascii="D-DIN" w:hAnsi="D-DIN"/>
          <w:b/>
          <w:bCs/>
          <w:color w:val="auto"/>
          <w:szCs w:val="32"/>
          <w:lang w:val="pt-BR"/>
        </w:rPr>
        <w:t>Incumprimento</w:t>
      </w:r>
      <w:bookmarkEnd w:id="59"/>
      <w:bookmarkEnd w:id="60"/>
      <w:bookmarkEnd w:id="61"/>
    </w:p>
    <w:p w14:paraId="6F11E928" w14:textId="692FA730" w:rsidR="00EE1853" w:rsidRPr="00724B9C" w:rsidRDefault="00EE1853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O incumprimento das regras descritas na presente Política pode ser considerado violação grave dos deveres de conduta e, em consequência, pode dar lugar à aplicação de medidas disciplinares, sanções contratuais ou a eventual responsabilidade criminal.</w:t>
      </w:r>
    </w:p>
    <w:p w14:paraId="5F90DDAD" w14:textId="5CD39087" w:rsidR="00743BF7" w:rsidRPr="0091553A" w:rsidRDefault="00743BF7" w:rsidP="00764FD5">
      <w:pPr>
        <w:pStyle w:val="Ttulo3"/>
        <w:numPr>
          <w:ilvl w:val="0"/>
          <w:numId w:val="29"/>
        </w:numPr>
        <w:spacing w:line="360" w:lineRule="auto"/>
        <w:jc w:val="both"/>
        <w:rPr>
          <w:rFonts w:ascii="D-DIN" w:hAnsi="D-DIN"/>
          <w:b/>
          <w:bCs/>
          <w:color w:val="auto"/>
          <w:sz w:val="32"/>
          <w:szCs w:val="36"/>
        </w:rPr>
      </w:pPr>
      <w:bookmarkStart w:id="62" w:name="_Toc232183537"/>
      <w:r w:rsidRPr="0091553A">
        <w:rPr>
          <w:rFonts w:ascii="D-DIN" w:hAnsi="D-DIN"/>
          <w:b/>
          <w:bCs/>
          <w:color w:val="auto"/>
          <w:szCs w:val="32"/>
        </w:rPr>
        <w:lastRenderedPageBreak/>
        <w:t>Interpretação</w:t>
      </w:r>
      <w:bookmarkEnd w:id="62"/>
      <w:r w:rsidR="00C61913" w:rsidRPr="0091553A">
        <w:rPr>
          <w:rFonts w:ascii="D-DIN" w:hAnsi="D-DIN"/>
          <w:b/>
          <w:bCs/>
          <w:color w:val="auto"/>
          <w:sz w:val="32"/>
          <w:szCs w:val="36"/>
        </w:rPr>
        <w:t xml:space="preserve"> </w:t>
      </w:r>
    </w:p>
    <w:p w14:paraId="386F63A3" w14:textId="63E64BFE" w:rsidR="001863CE" w:rsidRPr="00724B9C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A presente política deve ser interpretada em conformidade com as normas legais e estatutárias que sejam aplicáveis cabendo, ao CA resolver as dúvidas de interpretação que possam surgir.</w:t>
      </w:r>
    </w:p>
    <w:p w14:paraId="1B6D433F" w14:textId="197BB0F0" w:rsidR="00743BF7" w:rsidRPr="00C61913" w:rsidRDefault="00C61913" w:rsidP="00764FD5">
      <w:pPr>
        <w:pStyle w:val="PargrafodaLista"/>
        <w:numPr>
          <w:ilvl w:val="0"/>
          <w:numId w:val="29"/>
        </w:numPr>
        <w:spacing w:line="360" w:lineRule="auto"/>
        <w:jc w:val="both"/>
        <w:rPr>
          <w:rFonts w:ascii="D-DIN" w:hAnsi="D-DIN" w:cs="Arial"/>
          <w:b/>
          <w:bCs/>
        </w:rPr>
      </w:pPr>
      <w:r w:rsidRPr="00C61913">
        <w:rPr>
          <w:rFonts w:ascii="D-DIN" w:hAnsi="D-DIN"/>
          <w:b/>
          <w:bCs/>
          <w:szCs w:val="32"/>
        </w:rPr>
        <w:t xml:space="preserve"> </w:t>
      </w:r>
      <w:r w:rsidRPr="0091553A">
        <w:rPr>
          <w:rFonts w:ascii="D-DIN" w:hAnsi="D-DIN"/>
          <w:b/>
          <w:bCs/>
          <w:sz w:val="28"/>
          <w:szCs w:val="32"/>
        </w:rPr>
        <w:t>Divulgação</w:t>
      </w:r>
    </w:p>
    <w:p w14:paraId="49B985DA" w14:textId="651BB266" w:rsidR="00743BF7" w:rsidRPr="00724B9C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A presente Política de Compliance será objecto de divulgação interna através da sua publicação na página da internet da </w:t>
      </w:r>
      <w:r w:rsidR="00C12558">
        <w:rPr>
          <w:rFonts w:ascii="D-DIN" w:hAnsi="D-DIN"/>
        </w:rPr>
        <w:t>Madz Global</w:t>
      </w:r>
      <w:r w:rsidRPr="00724B9C">
        <w:rPr>
          <w:rFonts w:ascii="D-DIN" w:hAnsi="D-DIN"/>
        </w:rPr>
        <w:t>.</w:t>
      </w:r>
    </w:p>
    <w:p w14:paraId="6D50DE59" w14:textId="46C14629" w:rsidR="00743BF7" w:rsidRPr="00724B9C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A Direcção de Capital Humano divulgará, igualmente, a presente Política através de acções de formação para todos Trabalhadores da </w:t>
      </w:r>
      <w:r w:rsidR="00C12558">
        <w:rPr>
          <w:rFonts w:ascii="D-DIN" w:hAnsi="D-DIN"/>
        </w:rPr>
        <w:t>Madz Global</w:t>
      </w:r>
      <w:r w:rsidRPr="00724B9C">
        <w:rPr>
          <w:rFonts w:ascii="D-DIN" w:hAnsi="D-DIN"/>
        </w:rPr>
        <w:t xml:space="preserve">. </w:t>
      </w:r>
    </w:p>
    <w:p w14:paraId="58D3C43B" w14:textId="77777777" w:rsidR="00724B9C" w:rsidRPr="00724B9C" w:rsidRDefault="00743BF7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>A Direcção de Capital Humano deverá promover acções e meios de divulgação interna para todos os colaboradores.</w:t>
      </w:r>
      <w:bookmarkStart w:id="63" w:name="_Toc194004821"/>
    </w:p>
    <w:p w14:paraId="5C484060" w14:textId="15295E64" w:rsidR="00EE1853" w:rsidRPr="0091553A" w:rsidRDefault="007C4C59" w:rsidP="00764FD5">
      <w:pPr>
        <w:pStyle w:val="Ttulo3"/>
        <w:numPr>
          <w:ilvl w:val="0"/>
          <w:numId w:val="29"/>
        </w:numPr>
        <w:spacing w:line="360" w:lineRule="auto"/>
        <w:jc w:val="both"/>
        <w:rPr>
          <w:rFonts w:ascii="D-DIN" w:hAnsi="D-DIN"/>
          <w:b/>
          <w:bCs/>
          <w:color w:val="auto"/>
          <w:szCs w:val="32"/>
        </w:rPr>
      </w:pPr>
      <w:r w:rsidRPr="0091553A">
        <w:rPr>
          <w:rStyle w:val="Ttulo3Carter"/>
          <w:rFonts w:ascii="D-DIN" w:hAnsi="D-DIN"/>
          <w:b/>
          <w:bCs/>
          <w:color w:val="auto"/>
          <w:szCs w:val="32"/>
          <w:lang w:val="pt-BR"/>
        </w:rPr>
        <w:t xml:space="preserve">  </w:t>
      </w:r>
      <w:bookmarkStart w:id="64" w:name="_Toc232183538"/>
      <w:r w:rsidR="00EE1853" w:rsidRPr="0091553A">
        <w:rPr>
          <w:rStyle w:val="Ttulo3Carter"/>
          <w:rFonts w:ascii="D-DIN" w:hAnsi="D-DIN"/>
          <w:b/>
          <w:bCs/>
          <w:color w:val="auto"/>
          <w:lang w:val="pt-BR"/>
        </w:rPr>
        <w:t>Alterações</w:t>
      </w:r>
      <w:r w:rsidR="00EE1853" w:rsidRPr="0091553A">
        <w:rPr>
          <w:rStyle w:val="Ttulo3Carter"/>
          <w:rFonts w:ascii="D-DIN" w:hAnsi="D-DIN"/>
          <w:b/>
          <w:bCs/>
          <w:color w:val="auto"/>
          <w:szCs w:val="32"/>
          <w:lang w:val="pt-BR"/>
        </w:rPr>
        <w:t xml:space="preserve"> e Aprovação</w:t>
      </w:r>
      <w:bookmarkEnd w:id="63"/>
      <w:bookmarkEnd w:id="64"/>
    </w:p>
    <w:p w14:paraId="5ADA882D" w14:textId="77777777" w:rsidR="00EE1853" w:rsidRPr="00724B9C" w:rsidRDefault="00EE1853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A presente Política é revista com uma periodicidade mínima anual. O Gabinete de </w:t>
      </w:r>
      <w:r w:rsidRPr="00724B9C">
        <w:rPr>
          <w:rFonts w:ascii="D-DIN" w:hAnsi="D-DIN"/>
          <w:i/>
          <w:iCs/>
        </w:rPr>
        <w:t>Compliance</w:t>
      </w:r>
      <w:r w:rsidRPr="00724B9C">
        <w:rPr>
          <w:rFonts w:ascii="D-DIN" w:hAnsi="D-DIN"/>
        </w:rPr>
        <w:t xml:space="preserve"> pode, no entanto, propor ao Conselho de Gerência sua revisão num prazo inferior, sempre que se considere oportuno.</w:t>
      </w:r>
    </w:p>
    <w:p w14:paraId="0CA7165E" w14:textId="3DE8DAAC" w:rsidR="00EE1853" w:rsidRPr="00724B9C" w:rsidRDefault="00EE1853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A presente Política foi aprovado pelo Conselho de Gerência da </w:t>
      </w:r>
      <w:r w:rsidR="00C12558">
        <w:rPr>
          <w:rFonts w:ascii="D-DIN" w:hAnsi="D-DIN"/>
        </w:rPr>
        <w:t>Madz Global</w:t>
      </w:r>
      <w:r w:rsidRPr="00724B9C">
        <w:rPr>
          <w:rFonts w:ascii="D-DIN" w:hAnsi="D-DIN"/>
        </w:rPr>
        <w:t xml:space="preserve"> podendo apenas ser alterada por deliberação deste órgão.</w:t>
      </w:r>
    </w:p>
    <w:p w14:paraId="407AE249" w14:textId="682C8AE1" w:rsidR="00BB1495" w:rsidRDefault="00EE1853" w:rsidP="00724B9C">
      <w:pPr>
        <w:spacing w:line="360" w:lineRule="auto"/>
        <w:jc w:val="both"/>
        <w:rPr>
          <w:rFonts w:ascii="D-DIN" w:hAnsi="D-DIN"/>
        </w:rPr>
      </w:pPr>
      <w:r w:rsidRPr="00724B9C">
        <w:rPr>
          <w:rFonts w:ascii="D-DIN" w:hAnsi="D-DIN"/>
        </w:rPr>
        <w:t xml:space="preserve">O mesmo também poderá ocorrer sempre que se verifiquem alterações no contexto em que a </w:t>
      </w:r>
      <w:r w:rsidR="00C12558">
        <w:rPr>
          <w:rFonts w:ascii="D-DIN" w:hAnsi="D-DIN"/>
        </w:rPr>
        <w:t>Madz Global</w:t>
      </w:r>
      <w:r w:rsidRPr="00724B9C">
        <w:rPr>
          <w:rFonts w:ascii="D-DIN" w:hAnsi="D-DIN"/>
        </w:rPr>
        <w:t>, desenvolve as suas actividades, nomeadamente quando ocorrem alterações legais ou quaisquer outras consideradas relevantes.</w:t>
      </w:r>
    </w:p>
    <w:p w14:paraId="24EB5DA5" w14:textId="77777777" w:rsidR="0091553A" w:rsidRPr="00724B9C" w:rsidRDefault="0091553A" w:rsidP="00724B9C">
      <w:pPr>
        <w:spacing w:line="360" w:lineRule="auto"/>
        <w:jc w:val="both"/>
        <w:rPr>
          <w:rFonts w:ascii="D-DIN" w:hAnsi="D-DIN"/>
        </w:rPr>
      </w:pPr>
    </w:p>
    <w:p w14:paraId="1829887A" w14:textId="0347D481" w:rsidR="001863CE" w:rsidRPr="0091553A" w:rsidRDefault="001863CE" w:rsidP="00764FD5">
      <w:pPr>
        <w:pStyle w:val="Ttulo3"/>
        <w:numPr>
          <w:ilvl w:val="0"/>
          <w:numId w:val="29"/>
        </w:numPr>
        <w:rPr>
          <w:rFonts w:ascii="D-DIN" w:hAnsi="D-DIN"/>
          <w:b/>
          <w:bCs/>
          <w:color w:val="auto"/>
        </w:rPr>
      </w:pPr>
      <w:bookmarkStart w:id="65" w:name="_Toc231230031"/>
      <w:bookmarkStart w:id="66" w:name="_Toc232183539"/>
      <w:r w:rsidRPr="0091553A">
        <w:rPr>
          <w:rFonts w:ascii="D-DIN" w:hAnsi="D-DIN"/>
          <w:b/>
          <w:bCs/>
          <w:color w:val="auto"/>
        </w:rPr>
        <w:t>Aprovação e entrada em vigor</w:t>
      </w:r>
      <w:bookmarkEnd w:id="65"/>
      <w:bookmarkEnd w:id="66"/>
    </w:p>
    <w:tbl>
      <w:tblPr>
        <w:tblStyle w:val="TabelacomGrelha"/>
        <w:tblW w:w="9917" w:type="dxa"/>
        <w:tblInd w:w="-572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418"/>
        <w:gridCol w:w="2015"/>
        <w:gridCol w:w="1683"/>
        <w:gridCol w:w="2681"/>
        <w:gridCol w:w="2120"/>
      </w:tblGrid>
      <w:tr w:rsidR="001863CE" w:rsidRPr="00732C6E" w14:paraId="45E9C232" w14:textId="77777777" w:rsidTr="001529C3">
        <w:trPr>
          <w:trHeight w:val="360"/>
        </w:trPr>
        <w:tc>
          <w:tcPr>
            <w:tcW w:w="1418" w:type="dxa"/>
            <w:shd w:val="clear" w:color="auto" w:fill="A5C9EB"/>
            <w:vAlign w:val="center"/>
          </w:tcPr>
          <w:p w14:paraId="76CAF1E3" w14:textId="77777777" w:rsidR="001863CE" w:rsidRPr="001654AB" w:rsidRDefault="001863CE" w:rsidP="001654AB">
            <w:pPr>
              <w:spacing w:line="360" w:lineRule="auto"/>
              <w:ind w:left="360"/>
              <w:rPr>
                <w:rFonts w:ascii="D-DIN" w:eastAsia="Calibri" w:hAnsi="D-DIN" w:cs="Times New Roman"/>
                <w:b/>
                <w:bCs/>
              </w:rPr>
            </w:pPr>
            <w:r w:rsidRPr="001654AB">
              <w:rPr>
                <w:rFonts w:ascii="D-DIN" w:eastAsia="Calibri" w:hAnsi="D-DIN" w:cs="Times New Roman"/>
                <w:b/>
                <w:bCs/>
              </w:rPr>
              <w:t>Versão</w:t>
            </w:r>
          </w:p>
        </w:tc>
        <w:tc>
          <w:tcPr>
            <w:tcW w:w="2015" w:type="dxa"/>
            <w:shd w:val="clear" w:color="auto" w:fill="A5C9EB"/>
            <w:vAlign w:val="center"/>
          </w:tcPr>
          <w:p w14:paraId="62AE926A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Data de Aprovação</w:t>
            </w:r>
          </w:p>
        </w:tc>
        <w:tc>
          <w:tcPr>
            <w:tcW w:w="1683" w:type="dxa"/>
            <w:shd w:val="clear" w:color="auto" w:fill="A5C9EB"/>
            <w:vAlign w:val="center"/>
          </w:tcPr>
          <w:p w14:paraId="5E33DD93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Aprovador</w:t>
            </w:r>
          </w:p>
        </w:tc>
        <w:tc>
          <w:tcPr>
            <w:tcW w:w="2681" w:type="dxa"/>
            <w:shd w:val="clear" w:color="auto" w:fill="A5C9EB"/>
            <w:vAlign w:val="center"/>
          </w:tcPr>
          <w:p w14:paraId="06C82DEB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Data de Entrada em Vigor</w:t>
            </w:r>
          </w:p>
        </w:tc>
        <w:tc>
          <w:tcPr>
            <w:tcW w:w="2120" w:type="dxa"/>
            <w:shd w:val="clear" w:color="auto" w:fill="A5C9EB"/>
            <w:vAlign w:val="center"/>
          </w:tcPr>
          <w:p w14:paraId="489637DC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b/>
                <w:bCs/>
              </w:rPr>
            </w:pPr>
            <w:r w:rsidRPr="00732C6E">
              <w:rPr>
                <w:rFonts w:ascii="D-DIN" w:eastAsia="Calibri" w:hAnsi="D-DIN" w:cs="Times New Roman"/>
                <w:b/>
                <w:bCs/>
              </w:rPr>
              <w:t>Principais Alterações</w:t>
            </w:r>
          </w:p>
        </w:tc>
      </w:tr>
      <w:tr w:rsidR="001863CE" w:rsidRPr="00732C6E" w14:paraId="70ED6140" w14:textId="77777777" w:rsidTr="001529C3">
        <w:trPr>
          <w:trHeight w:val="508"/>
        </w:trPr>
        <w:tc>
          <w:tcPr>
            <w:tcW w:w="1418" w:type="dxa"/>
          </w:tcPr>
          <w:p w14:paraId="33CBD8BF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2</w:t>
            </w:r>
            <w:r w:rsidRPr="00732C6E">
              <w:rPr>
                <w:rFonts w:ascii="D-DIN" w:eastAsia="Calibri" w:hAnsi="D-DIN" w:cs="Times New Roman"/>
                <w:color w:val="000000"/>
              </w:rPr>
              <w:t>.0</w:t>
            </w:r>
          </w:p>
        </w:tc>
        <w:tc>
          <w:tcPr>
            <w:tcW w:w="2015" w:type="dxa"/>
          </w:tcPr>
          <w:p w14:paraId="2E46F666" w14:textId="3A0FEF9A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04</w:t>
            </w:r>
            <w:r w:rsidRPr="00732C6E">
              <w:rPr>
                <w:rFonts w:ascii="D-DIN" w:eastAsia="Calibri" w:hAnsi="D-DIN" w:cs="Times New Roman"/>
                <w:color w:val="000000"/>
              </w:rPr>
              <w:t>/2026</w:t>
            </w:r>
          </w:p>
        </w:tc>
        <w:tc>
          <w:tcPr>
            <w:tcW w:w="1683" w:type="dxa"/>
          </w:tcPr>
          <w:p w14:paraId="736766D1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Assembleia Geral</w:t>
            </w:r>
          </w:p>
        </w:tc>
        <w:tc>
          <w:tcPr>
            <w:tcW w:w="2681" w:type="dxa"/>
          </w:tcPr>
          <w:p w14:paraId="60E04FDE" w14:textId="1067C67B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>
              <w:rPr>
                <w:rFonts w:ascii="D-DIN" w:eastAsia="Calibri" w:hAnsi="D-DIN" w:cs="Times New Roman"/>
                <w:color w:val="000000"/>
              </w:rPr>
              <w:t>04</w:t>
            </w:r>
            <w:r w:rsidRPr="00732C6E">
              <w:rPr>
                <w:rFonts w:ascii="D-DIN" w:eastAsia="Calibri" w:hAnsi="D-DIN" w:cs="Times New Roman"/>
                <w:color w:val="000000"/>
              </w:rPr>
              <w:t>/2026</w:t>
            </w:r>
          </w:p>
        </w:tc>
        <w:tc>
          <w:tcPr>
            <w:tcW w:w="2120" w:type="dxa"/>
          </w:tcPr>
          <w:p w14:paraId="1864DFE0" w14:textId="77777777" w:rsidR="001863CE" w:rsidRPr="00732C6E" w:rsidRDefault="001863CE" w:rsidP="001529C3">
            <w:pPr>
              <w:spacing w:line="360" w:lineRule="auto"/>
              <w:jc w:val="center"/>
              <w:rPr>
                <w:rFonts w:ascii="D-DIN" w:eastAsia="Calibri" w:hAnsi="D-DIN" w:cs="Times New Roman"/>
                <w:color w:val="000000"/>
              </w:rPr>
            </w:pPr>
            <w:r w:rsidRPr="00732C6E">
              <w:rPr>
                <w:rFonts w:ascii="D-DIN" w:eastAsia="Calibri" w:hAnsi="D-DIN" w:cs="Times New Roman"/>
                <w:color w:val="000000"/>
              </w:rPr>
              <w:t>Versão Inicial</w:t>
            </w:r>
          </w:p>
        </w:tc>
      </w:tr>
    </w:tbl>
    <w:p w14:paraId="5DB8BC06" w14:textId="77777777" w:rsidR="001863CE" w:rsidRPr="003D0B04" w:rsidRDefault="001863CE" w:rsidP="001863CE">
      <w:pPr>
        <w:spacing w:line="360" w:lineRule="auto"/>
        <w:jc w:val="both"/>
        <w:rPr>
          <w:rFonts w:ascii="D-DIN" w:hAnsi="D-DIN"/>
        </w:rPr>
      </w:pPr>
    </w:p>
    <w:p w14:paraId="1F1CE7F2" w14:textId="77777777" w:rsidR="009176A6" w:rsidRPr="00724B9C" w:rsidRDefault="009176A6" w:rsidP="00724B9C">
      <w:pPr>
        <w:pStyle w:val="Ttulo2"/>
        <w:spacing w:line="360" w:lineRule="auto"/>
        <w:jc w:val="both"/>
        <w:rPr>
          <w:rFonts w:ascii="D-DIN" w:hAnsi="D-DIN"/>
          <w:sz w:val="24"/>
          <w:szCs w:val="24"/>
        </w:rPr>
      </w:pPr>
    </w:p>
    <w:sectPr w:rsidR="009176A6" w:rsidRPr="00724B9C" w:rsidSect="005B7209">
      <w:headerReference w:type="default" r:id="rId12"/>
      <w:footerReference w:type="default" r:id="rId13"/>
      <w:pgSz w:w="11906" w:h="16838"/>
      <w:pgMar w:top="1168" w:right="1416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144CF" w14:textId="77777777" w:rsidR="003F00E8" w:rsidRDefault="003F00E8" w:rsidP="00326A3B">
      <w:pPr>
        <w:spacing w:after="0" w:line="240" w:lineRule="auto"/>
      </w:pPr>
      <w:r>
        <w:separator/>
      </w:r>
    </w:p>
  </w:endnote>
  <w:endnote w:type="continuationSeparator" w:id="0">
    <w:p w14:paraId="307C54B3" w14:textId="77777777" w:rsidR="003F00E8" w:rsidRDefault="003F00E8" w:rsidP="0032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-DIN">
    <w:altName w:val="Calibri"/>
    <w:panose1 w:val="020B0504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046832"/>
      <w:docPartObj>
        <w:docPartGallery w:val="Page Numbers (Bottom of Page)"/>
        <w:docPartUnique/>
      </w:docPartObj>
    </w:sdtPr>
    <w:sdtContent>
      <w:p w14:paraId="4187E6B5" w14:textId="574FCB4C" w:rsidR="00A16696" w:rsidRDefault="00A1669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3DBA87" w14:textId="77777777" w:rsidR="008827C4" w:rsidRDefault="008827C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A42F1" w14:textId="77777777" w:rsidR="003F00E8" w:rsidRDefault="003F00E8" w:rsidP="00326A3B">
      <w:pPr>
        <w:spacing w:after="0" w:line="240" w:lineRule="auto"/>
      </w:pPr>
      <w:r>
        <w:separator/>
      </w:r>
    </w:p>
  </w:footnote>
  <w:footnote w:type="continuationSeparator" w:id="0">
    <w:p w14:paraId="3814DBDD" w14:textId="77777777" w:rsidR="003F00E8" w:rsidRDefault="003F00E8" w:rsidP="0032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C424C" w14:textId="13DECE1D" w:rsidR="001F09FB" w:rsidRDefault="001F09FB">
    <w:pPr>
      <w:pStyle w:val="Cabealho"/>
    </w:pPr>
  </w:p>
  <w:tbl>
    <w:tblPr>
      <w:tblStyle w:val="TabelacomGrelha"/>
      <w:tblW w:w="9927" w:type="dxa"/>
      <w:tblInd w:w="-714" w:type="dxa"/>
      <w:tblLayout w:type="fixed"/>
      <w:tblLook w:val="04A0" w:firstRow="1" w:lastRow="0" w:firstColumn="1" w:lastColumn="0" w:noHBand="0" w:noVBand="1"/>
    </w:tblPr>
    <w:tblGrid>
      <w:gridCol w:w="5671"/>
      <w:gridCol w:w="4256"/>
    </w:tblGrid>
    <w:tr w:rsidR="001F09FB" w:rsidRPr="00DF3B66" w14:paraId="23C031C8" w14:textId="77777777" w:rsidTr="005E7672">
      <w:trPr>
        <w:trHeight w:val="1266"/>
      </w:trPr>
      <w:tc>
        <w:tcPr>
          <w:tcW w:w="5671" w:type="dxa"/>
        </w:tcPr>
        <w:p w14:paraId="79482EFA" w14:textId="77777777" w:rsidR="001F09FB" w:rsidRPr="00DF3B66" w:rsidRDefault="001F09FB" w:rsidP="001F09FB">
          <w:pPr>
            <w:tabs>
              <w:tab w:val="left" w:pos="5265"/>
            </w:tabs>
          </w:pPr>
          <w:r w:rsidRPr="00DF3B66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1F42863F" wp14:editId="4B802035">
                <wp:simplePos x="0" y="0"/>
                <wp:positionH relativeFrom="column">
                  <wp:posOffset>-179</wp:posOffset>
                </wp:positionH>
                <wp:positionV relativeFrom="paragraph">
                  <wp:posOffset>60960</wp:posOffset>
                </wp:positionV>
                <wp:extent cx="1254013" cy="666000"/>
                <wp:effectExtent l="0" t="0" r="3810" b="1270"/>
                <wp:wrapTight wrapText="bothSides">
                  <wp:wrapPolygon edited="0">
                    <wp:start x="0" y="0"/>
                    <wp:lineTo x="0" y="21023"/>
                    <wp:lineTo x="21337" y="21023"/>
                    <wp:lineTo x="21337" y="0"/>
                    <wp:lineTo x="0" y="0"/>
                  </wp:wrapPolygon>
                </wp:wrapTight>
                <wp:docPr id="759938602" name="Imagem 75993860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4719461" name="Imagem 1554719461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4013" cy="666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Pr="00DF3B66">
            <w:tab/>
          </w:r>
        </w:p>
      </w:tc>
      <w:tc>
        <w:tcPr>
          <w:tcW w:w="4256" w:type="dxa"/>
        </w:tcPr>
        <w:p w14:paraId="5FF867FD" w14:textId="77777777" w:rsidR="005B7209" w:rsidRDefault="005B7209" w:rsidP="005B7209">
          <w:pPr>
            <w:spacing w:line="360" w:lineRule="auto"/>
            <w:rPr>
              <w:rFonts w:ascii="D-DIN" w:hAnsi="D-DIN"/>
              <w:b/>
              <w:bCs/>
              <w:sz w:val="28"/>
              <w:szCs w:val="28"/>
            </w:rPr>
          </w:pPr>
        </w:p>
        <w:p w14:paraId="4304A1CE" w14:textId="2F475E46" w:rsidR="005B7209" w:rsidRPr="005B7209" w:rsidRDefault="00796C91" w:rsidP="005B7209">
          <w:pPr>
            <w:spacing w:line="360" w:lineRule="auto"/>
            <w:jc w:val="center"/>
            <w:rPr>
              <w:rFonts w:ascii="D-DIN" w:hAnsi="D-DIN"/>
              <w:b/>
              <w:bCs/>
              <w:sz w:val="28"/>
              <w:szCs w:val="28"/>
            </w:rPr>
          </w:pPr>
          <w:r>
            <w:rPr>
              <w:rFonts w:ascii="D-DIN" w:hAnsi="D-DIN"/>
              <w:b/>
              <w:bCs/>
              <w:sz w:val="28"/>
              <w:szCs w:val="28"/>
            </w:rPr>
            <w:t xml:space="preserve">Política de </w:t>
          </w:r>
          <w:r w:rsidR="00142746">
            <w:rPr>
              <w:rFonts w:ascii="D-DIN" w:hAnsi="D-DIN"/>
              <w:b/>
              <w:bCs/>
              <w:sz w:val="28"/>
              <w:szCs w:val="28"/>
            </w:rPr>
            <w:t>Gestão de Risco</w:t>
          </w:r>
        </w:p>
      </w:tc>
    </w:tr>
  </w:tbl>
  <w:p w14:paraId="63AB5C22" w14:textId="77777777" w:rsidR="00A86BFD" w:rsidRPr="00576C1F" w:rsidRDefault="00A86BFD" w:rsidP="00A86BFD">
    <w:pPr>
      <w:spacing w:after="0" w:line="240" w:lineRule="auto"/>
      <w:jc w:val="both"/>
      <w:rPr>
        <w:rFonts w:ascii="D-DIN" w:hAnsi="D-DI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177"/>
    <w:multiLevelType w:val="hybridMultilevel"/>
    <w:tmpl w:val="6E70471E"/>
    <w:lvl w:ilvl="0" w:tplc="0C000017">
      <w:start w:val="1"/>
      <w:numFmt w:val="lowerLetter"/>
      <w:lvlText w:val="%1)"/>
      <w:lvlJc w:val="left"/>
      <w:pPr>
        <w:ind w:left="360" w:hanging="360"/>
      </w:pPr>
    </w:lvl>
    <w:lvl w:ilvl="1" w:tplc="0C000019" w:tentative="1">
      <w:start w:val="1"/>
      <w:numFmt w:val="lowerLetter"/>
      <w:lvlText w:val="%2."/>
      <w:lvlJc w:val="left"/>
      <w:pPr>
        <w:ind w:left="1080" w:hanging="360"/>
      </w:pPr>
    </w:lvl>
    <w:lvl w:ilvl="2" w:tplc="0C00001B" w:tentative="1">
      <w:start w:val="1"/>
      <w:numFmt w:val="lowerRoman"/>
      <w:lvlText w:val="%3."/>
      <w:lvlJc w:val="right"/>
      <w:pPr>
        <w:ind w:left="1800" w:hanging="180"/>
      </w:pPr>
    </w:lvl>
    <w:lvl w:ilvl="3" w:tplc="0C00000F" w:tentative="1">
      <w:start w:val="1"/>
      <w:numFmt w:val="decimal"/>
      <w:lvlText w:val="%4."/>
      <w:lvlJc w:val="left"/>
      <w:pPr>
        <w:ind w:left="2520" w:hanging="360"/>
      </w:pPr>
    </w:lvl>
    <w:lvl w:ilvl="4" w:tplc="0C000019" w:tentative="1">
      <w:start w:val="1"/>
      <w:numFmt w:val="lowerLetter"/>
      <w:lvlText w:val="%5."/>
      <w:lvlJc w:val="left"/>
      <w:pPr>
        <w:ind w:left="3240" w:hanging="360"/>
      </w:pPr>
    </w:lvl>
    <w:lvl w:ilvl="5" w:tplc="0C00001B" w:tentative="1">
      <w:start w:val="1"/>
      <w:numFmt w:val="lowerRoman"/>
      <w:lvlText w:val="%6."/>
      <w:lvlJc w:val="right"/>
      <w:pPr>
        <w:ind w:left="3960" w:hanging="180"/>
      </w:pPr>
    </w:lvl>
    <w:lvl w:ilvl="6" w:tplc="0C00000F" w:tentative="1">
      <w:start w:val="1"/>
      <w:numFmt w:val="decimal"/>
      <w:lvlText w:val="%7."/>
      <w:lvlJc w:val="left"/>
      <w:pPr>
        <w:ind w:left="4680" w:hanging="360"/>
      </w:pPr>
    </w:lvl>
    <w:lvl w:ilvl="7" w:tplc="0C000019" w:tentative="1">
      <w:start w:val="1"/>
      <w:numFmt w:val="lowerLetter"/>
      <w:lvlText w:val="%8."/>
      <w:lvlJc w:val="left"/>
      <w:pPr>
        <w:ind w:left="5400" w:hanging="360"/>
      </w:pPr>
    </w:lvl>
    <w:lvl w:ilvl="8" w:tplc="0C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EE421E"/>
    <w:multiLevelType w:val="multilevel"/>
    <w:tmpl w:val="C0AE80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3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 w15:restartNumberingAfterBreak="0">
    <w:nsid w:val="07922242"/>
    <w:multiLevelType w:val="multilevel"/>
    <w:tmpl w:val="C5307242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E5DD2"/>
    <w:multiLevelType w:val="hybridMultilevel"/>
    <w:tmpl w:val="8B907C78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2224"/>
    <w:multiLevelType w:val="hybridMultilevel"/>
    <w:tmpl w:val="E99A6C4C"/>
    <w:lvl w:ilvl="0" w:tplc="F82C3712">
      <w:start w:val="1"/>
      <w:numFmt w:val="lowerLetter"/>
      <w:lvlText w:val="%1)"/>
      <w:lvlJc w:val="left"/>
      <w:pPr>
        <w:ind w:left="1028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AA8C972">
      <w:numFmt w:val="bullet"/>
      <w:lvlText w:val="•"/>
      <w:lvlJc w:val="left"/>
      <w:pPr>
        <w:ind w:left="1910" w:hanging="360"/>
      </w:pPr>
      <w:rPr>
        <w:rFonts w:hint="default"/>
        <w:lang w:val="pt-PT" w:eastAsia="en-US" w:bidi="ar-SA"/>
      </w:rPr>
    </w:lvl>
    <w:lvl w:ilvl="2" w:tplc="C37866B8">
      <w:numFmt w:val="bullet"/>
      <w:lvlText w:val="•"/>
      <w:lvlJc w:val="left"/>
      <w:pPr>
        <w:ind w:left="2800" w:hanging="360"/>
      </w:pPr>
      <w:rPr>
        <w:rFonts w:hint="default"/>
        <w:lang w:val="pt-PT" w:eastAsia="en-US" w:bidi="ar-SA"/>
      </w:rPr>
    </w:lvl>
    <w:lvl w:ilvl="3" w:tplc="20060840">
      <w:numFmt w:val="bullet"/>
      <w:lvlText w:val="•"/>
      <w:lvlJc w:val="left"/>
      <w:pPr>
        <w:ind w:left="3690" w:hanging="360"/>
      </w:pPr>
      <w:rPr>
        <w:rFonts w:hint="default"/>
        <w:lang w:val="pt-PT" w:eastAsia="en-US" w:bidi="ar-SA"/>
      </w:rPr>
    </w:lvl>
    <w:lvl w:ilvl="4" w:tplc="D7626BA0">
      <w:numFmt w:val="bullet"/>
      <w:lvlText w:val="•"/>
      <w:lvlJc w:val="left"/>
      <w:pPr>
        <w:ind w:left="4580" w:hanging="360"/>
      </w:pPr>
      <w:rPr>
        <w:rFonts w:hint="default"/>
        <w:lang w:val="pt-PT" w:eastAsia="en-US" w:bidi="ar-SA"/>
      </w:rPr>
    </w:lvl>
    <w:lvl w:ilvl="5" w:tplc="5DA032F0">
      <w:numFmt w:val="bullet"/>
      <w:lvlText w:val="•"/>
      <w:lvlJc w:val="left"/>
      <w:pPr>
        <w:ind w:left="5471" w:hanging="360"/>
      </w:pPr>
      <w:rPr>
        <w:rFonts w:hint="default"/>
        <w:lang w:val="pt-PT" w:eastAsia="en-US" w:bidi="ar-SA"/>
      </w:rPr>
    </w:lvl>
    <w:lvl w:ilvl="6" w:tplc="A04AA03E">
      <w:numFmt w:val="bullet"/>
      <w:lvlText w:val="•"/>
      <w:lvlJc w:val="left"/>
      <w:pPr>
        <w:ind w:left="6361" w:hanging="360"/>
      </w:pPr>
      <w:rPr>
        <w:rFonts w:hint="default"/>
        <w:lang w:val="pt-PT" w:eastAsia="en-US" w:bidi="ar-SA"/>
      </w:rPr>
    </w:lvl>
    <w:lvl w:ilvl="7" w:tplc="146EFFD6">
      <w:numFmt w:val="bullet"/>
      <w:lvlText w:val="•"/>
      <w:lvlJc w:val="left"/>
      <w:pPr>
        <w:ind w:left="7251" w:hanging="360"/>
      </w:pPr>
      <w:rPr>
        <w:rFonts w:hint="default"/>
        <w:lang w:val="pt-PT" w:eastAsia="en-US" w:bidi="ar-SA"/>
      </w:rPr>
    </w:lvl>
    <w:lvl w:ilvl="8" w:tplc="5B2E75CE">
      <w:numFmt w:val="bullet"/>
      <w:lvlText w:val="•"/>
      <w:lvlJc w:val="left"/>
      <w:pPr>
        <w:ind w:left="8141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384663F"/>
    <w:multiLevelType w:val="hybridMultilevel"/>
    <w:tmpl w:val="8296129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E414F"/>
    <w:multiLevelType w:val="hybridMultilevel"/>
    <w:tmpl w:val="7A8AA2CE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33F1B"/>
    <w:multiLevelType w:val="hybridMultilevel"/>
    <w:tmpl w:val="08C61142"/>
    <w:lvl w:ilvl="0" w:tplc="68003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3253C"/>
    <w:multiLevelType w:val="hybridMultilevel"/>
    <w:tmpl w:val="D1F8B100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2A0E94"/>
    <w:multiLevelType w:val="hybridMultilevel"/>
    <w:tmpl w:val="FF1A4968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C38B6"/>
    <w:multiLevelType w:val="hybridMultilevel"/>
    <w:tmpl w:val="38D82C18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494F7C"/>
    <w:multiLevelType w:val="hybridMultilevel"/>
    <w:tmpl w:val="7A5C8F84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58D2E05C">
      <w:start w:val="1"/>
      <w:numFmt w:val="decimal"/>
      <w:lvlText w:val="%2."/>
      <w:lvlJc w:val="left"/>
      <w:pPr>
        <w:ind w:left="1464" w:hanging="384"/>
      </w:pPr>
      <w:rPr>
        <w:rFonts w:hint="default"/>
      </w:r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14276"/>
    <w:multiLevelType w:val="hybridMultilevel"/>
    <w:tmpl w:val="B68CAB18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E4B0C"/>
    <w:multiLevelType w:val="hybridMultilevel"/>
    <w:tmpl w:val="F422828C"/>
    <w:lvl w:ilvl="0" w:tplc="C006327A">
      <w:start w:val="7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C225B"/>
    <w:multiLevelType w:val="multilevel"/>
    <w:tmpl w:val="CC5CA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C677A6C"/>
    <w:multiLevelType w:val="hybridMultilevel"/>
    <w:tmpl w:val="B71421EE"/>
    <w:lvl w:ilvl="0" w:tplc="25A8F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B44A9B"/>
    <w:multiLevelType w:val="multilevel"/>
    <w:tmpl w:val="6CCE9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7537580"/>
    <w:multiLevelType w:val="hybridMultilevel"/>
    <w:tmpl w:val="FA4CD804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41CD2"/>
    <w:multiLevelType w:val="multilevel"/>
    <w:tmpl w:val="9A3A37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9D53169"/>
    <w:multiLevelType w:val="hybridMultilevel"/>
    <w:tmpl w:val="445CF332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B1D32"/>
    <w:multiLevelType w:val="hybridMultilevel"/>
    <w:tmpl w:val="5D6ED352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C95102"/>
    <w:multiLevelType w:val="multilevel"/>
    <w:tmpl w:val="79AE920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80C74EF"/>
    <w:multiLevelType w:val="hybridMultilevel"/>
    <w:tmpl w:val="EE560320"/>
    <w:lvl w:ilvl="0" w:tplc="5E80C868">
      <w:start w:val="1"/>
      <w:numFmt w:val="lowerLetter"/>
      <w:lvlText w:val="%1)"/>
      <w:lvlJc w:val="left"/>
      <w:pPr>
        <w:ind w:left="768" w:hanging="408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C1403B"/>
    <w:multiLevelType w:val="hybridMultilevel"/>
    <w:tmpl w:val="4B88290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743B13"/>
    <w:multiLevelType w:val="hybridMultilevel"/>
    <w:tmpl w:val="29143452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43F9F"/>
    <w:multiLevelType w:val="multilevel"/>
    <w:tmpl w:val="C0AE80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3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4A53476"/>
    <w:multiLevelType w:val="multilevel"/>
    <w:tmpl w:val="79AE920C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712E62"/>
    <w:multiLevelType w:val="hybridMultilevel"/>
    <w:tmpl w:val="578AB182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A11355"/>
    <w:multiLevelType w:val="hybridMultilevel"/>
    <w:tmpl w:val="979EF55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E537A"/>
    <w:multiLevelType w:val="hybridMultilevel"/>
    <w:tmpl w:val="0C101A8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10060">
    <w:abstractNumId w:val="2"/>
  </w:num>
  <w:num w:numId="2" w16cid:durableId="235407464">
    <w:abstractNumId w:val="18"/>
  </w:num>
  <w:num w:numId="3" w16cid:durableId="655112935">
    <w:abstractNumId w:val="13"/>
  </w:num>
  <w:num w:numId="4" w16cid:durableId="870000715">
    <w:abstractNumId w:val="27"/>
  </w:num>
  <w:num w:numId="5" w16cid:durableId="452594894">
    <w:abstractNumId w:val="28"/>
  </w:num>
  <w:num w:numId="6" w16cid:durableId="1066300955">
    <w:abstractNumId w:val="22"/>
  </w:num>
  <w:num w:numId="7" w16cid:durableId="1832670648">
    <w:abstractNumId w:val="21"/>
  </w:num>
  <w:num w:numId="8" w16cid:durableId="1246846035">
    <w:abstractNumId w:val="19"/>
  </w:num>
  <w:num w:numId="9" w16cid:durableId="1912692474">
    <w:abstractNumId w:val="23"/>
  </w:num>
  <w:num w:numId="10" w16cid:durableId="652374555">
    <w:abstractNumId w:val="16"/>
  </w:num>
  <w:num w:numId="11" w16cid:durableId="1175455102">
    <w:abstractNumId w:val="26"/>
  </w:num>
  <w:num w:numId="12" w16cid:durableId="1751192699">
    <w:abstractNumId w:val="4"/>
  </w:num>
  <w:num w:numId="13" w16cid:durableId="755709225">
    <w:abstractNumId w:val="8"/>
  </w:num>
  <w:num w:numId="14" w16cid:durableId="1131434726">
    <w:abstractNumId w:val="5"/>
  </w:num>
  <w:num w:numId="15" w16cid:durableId="81220623">
    <w:abstractNumId w:val="6"/>
  </w:num>
  <w:num w:numId="16" w16cid:durableId="1666394866">
    <w:abstractNumId w:val="10"/>
  </w:num>
  <w:num w:numId="17" w16cid:durableId="1431466566">
    <w:abstractNumId w:val="11"/>
  </w:num>
  <w:num w:numId="18" w16cid:durableId="350300417">
    <w:abstractNumId w:val="17"/>
  </w:num>
  <w:num w:numId="19" w16cid:durableId="183978945">
    <w:abstractNumId w:val="0"/>
  </w:num>
  <w:num w:numId="20" w16cid:durableId="582028745">
    <w:abstractNumId w:val="3"/>
  </w:num>
  <w:num w:numId="21" w16cid:durableId="272979396">
    <w:abstractNumId w:val="29"/>
  </w:num>
  <w:num w:numId="22" w16cid:durableId="1680354791">
    <w:abstractNumId w:val="12"/>
  </w:num>
  <w:num w:numId="23" w16cid:durableId="127407529">
    <w:abstractNumId w:val="9"/>
  </w:num>
  <w:num w:numId="24" w16cid:durableId="335806469">
    <w:abstractNumId w:val="24"/>
  </w:num>
  <w:num w:numId="25" w16cid:durableId="1043794364">
    <w:abstractNumId w:val="7"/>
  </w:num>
  <w:num w:numId="26" w16cid:durableId="1552158335">
    <w:abstractNumId w:val="1"/>
  </w:num>
  <w:num w:numId="27" w16cid:durableId="1678456457">
    <w:abstractNumId w:val="25"/>
  </w:num>
  <w:num w:numId="28" w16cid:durableId="717709628">
    <w:abstractNumId w:val="15"/>
  </w:num>
  <w:num w:numId="29" w16cid:durableId="254246230">
    <w:abstractNumId w:val="14"/>
  </w:num>
  <w:num w:numId="30" w16cid:durableId="753354718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A3B"/>
    <w:rsid w:val="00040D2A"/>
    <w:rsid w:val="0005422E"/>
    <w:rsid w:val="00060DB8"/>
    <w:rsid w:val="000650A4"/>
    <w:rsid w:val="000979FA"/>
    <w:rsid w:val="000A32C8"/>
    <w:rsid w:val="000B3538"/>
    <w:rsid w:val="000C18BF"/>
    <w:rsid w:val="000C471E"/>
    <w:rsid w:val="000D0E73"/>
    <w:rsid w:val="000D5F1E"/>
    <w:rsid w:val="000D7AE1"/>
    <w:rsid w:val="000F15BA"/>
    <w:rsid w:val="000F6390"/>
    <w:rsid w:val="00100948"/>
    <w:rsid w:val="00102C49"/>
    <w:rsid w:val="001042B9"/>
    <w:rsid w:val="00132C45"/>
    <w:rsid w:val="00142746"/>
    <w:rsid w:val="00142BA7"/>
    <w:rsid w:val="001654AB"/>
    <w:rsid w:val="00170DAE"/>
    <w:rsid w:val="001863CE"/>
    <w:rsid w:val="001A0D3E"/>
    <w:rsid w:val="001E6FC4"/>
    <w:rsid w:val="001F09FB"/>
    <w:rsid w:val="002473A7"/>
    <w:rsid w:val="002C0D1B"/>
    <w:rsid w:val="002C2CAA"/>
    <w:rsid w:val="002C574C"/>
    <w:rsid w:val="002C7171"/>
    <w:rsid w:val="002E6641"/>
    <w:rsid w:val="00316E2F"/>
    <w:rsid w:val="00326A3B"/>
    <w:rsid w:val="00352B0A"/>
    <w:rsid w:val="0038709C"/>
    <w:rsid w:val="00390ECD"/>
    <w:rsid w:val="003A4179"/>
    <w:rsid w:val="003B17DA"/>
    <w:rsid w:val="003F00E8"/>
    <w:rsid w:val="00413D84"/>
    <w:rsid w:val="004243EA"/>
    <w:rsid w:val="004253C7"/>
    <w:rsid w:val="00463A4E"/>
    <w:rsid w:val="00467843"/>
    <w:rsid w:val="004725E2"/>
    <w:rsid w:val="00494525"/>
    <w:rsid w:val="00496B65"/>
    <w:rsid w:val="004A5576"/>
    <w:rsid w:val="004B0083"/>
    <w:rsid w:val="004D373C"/>
    <w:rsid w:val="004D3A11"/>
    <w:rsid w:val="004D4E8F"/>
    <w:rsid w:val="004E1A7C"/>
    <w:rsid w:val="00514C8D"/>
    <w:rsid w:val="0051586F"/>
    <w:rsid w:val="00534D78"/>
    <w:rsid w:val="005443E2"/>
    <w:rsid w:val="005549DA"/>
    <w:rsid w:val="00576385"/>
    <w:rsid w:val="00576C1F"/>
    <w:rsid w:val="00591974"/>
    <w:rsid w:val="005B1546"/>
    <w:rsid w:val="005B7209"/>
    <w:rsid w:val="005C2543"/>
    <w:rsid w:val="005E7672"/>
    <w:rsid w:val="005E7A50"/>
    <w:rsid w:val="005F54A2"/>
    <w:rsid w:val="00604E2B"/>
    <w:rsid w:val="00606C45"/>
    <w:rsid w:val="006247F7"/>
    <w:rsid w:val="006325C1"/>
    <w:rsid w:val="00633561"/>
    <w:rsid w:val="00633F5C"/>
    <w:rsid w:val="006438D8"/>
    <w:rsid w:val="0064582B"/>
    <w:rsid w:val="00656140"/>
    <w:rsid w:val="006642D9"/>
    <w:rsid w:val="00684723"/>
    <w:rsid w:val="006A40F8"/>
    <w:rsid w:val="006B7870"/>
    <w:rsid w:val="006F510A"/>
    <w:rsid w:val="00723C28"/>
    <w:rsid w:val="00724A94"/>
    <w:rsid w:val="00724B9C"/>
    <w:rsid w:val="00725C63"/>
    <w:rsid w:val="00743BF7"/>
    <w:rsid w:val="0075193C"/>
    <w:rsid w:val="0076037C"/>
    <w:rsid w:val="00764154"/>
    <w:rsid w:val="00764FD5"/>
    <w:rsid w:val="0077675A"/>
    <w:rsid w:val="00787837"/>
    <w:rsid w:val="00796C91"/>
    <w:rsid w:val="007C4C59"/>
    <w:rsid w:val="007D2628"/>
    <w:rsid w:val="007F1403"/>
    <w:rsid w:val="00803F81"/>
    <w:rsid w:val="008628B7"/>
    <w:rsid w:val="0088236D"/>
    <w:rsid w:val="008827C4"/>
    <w:rsid w:val="0088543D"/>
    <w:rsid w:val="00891641"/>
    <w:rsid w:val="008A5862"/>
    <w:rsid w:val="008C20C3"/>
    <w:rsid w:val="008D41BC"/>
    <w:rsid w:val="0090465D"/>
    <w:rsid w:val="0091553A"/>
    <w:rsid w:val="009176A6"/>
    <w:rsid w:val="009355B8"/>
    <w:rsid w:val="00943E47"/>
    <w:rsid w:val="00955A1E"/>
    <w:rsid w:val="00976A4B"/>
    <w:rsid w:val="009B3EA1"/>
    <w:rsid w:val="009F73FF"/>
    <w:rsid w:val="00A16696"/>
    <w:rsid w:val="00A53D0C"/>
    <w:rsid w:val="00A56AB6"/>
    <w:rsid w:val="00A670A4"/>
    <w:rsid w:val="00A7370A"/>
    <w:rsid w:val="00A86BFD"/>
    <w:rsid w:val="00AC7C0D"/>
    <w:rsid w:val="00AD3D62"/>
    <w:rsid w:val="00AE1F92"/>
    <w:rsid w:val="00AE23FA"/>
    <w:rsid w:val="00AE3885"/>
    <w:rsid w:val="00B11188"/>
    <w:rsid w:val="00B23CD0"/>
    <w:rsid w:val="00B6614D"/>
    <w:rsid w:val="00B873E4"/>
    <w:rsid w:val="00B91F72"/>
    <w:rsid w:val="00BA6261"/>
    <w:rsid w:val="00BB0816"/>
    <w:rsid w:val="00BB1495"/>
    <w:rsid w:val="00BD1091"/>
    <w:rsid w:val="00BE036D"/>
    <w:rsid w:val="00BE1599"/>
    <w:rsid w:val="00BE372E"/>
    <w:rsid w:val="00BF295B"/>
    <w:rsid w:val="00C12558"/>
    <w:rsid w:val="00C47A1D"/>
    <w:rsid w:val="00C56071"/>
    <w:rsid w:val="00C61913"/>
    <w:rsid w:val="00C84228"/>
    <w:rsid w:val="00CC2A1F"/>
    <w:rsid w:val="00CD48BB"/>
    <w:rsid w:val="00CE7316"/>
    <w:rsid w:val="00D02CA6"/>
    <w:rsid w:val="00D1329D"/>
    <w:rsid w:val="00D14A02"/>
    <w:rsid w:val="00D224D1"/>
    <w:rsid w:val="00D476AB"/>
    <w:rsid w:val="00D62960"/>
    <w:rsid w:val="00D72F6E"/>
    <w:rsid w:val="00DA2E43"/>
    <w:rsid w:val="00DA44F7"/>
    <w:rsid w:val="00DC6822"/>
    <w:rsid w:val="00DE3C83"/>
    <w:rsid w:val="00DF45D6"/>
    <w:rsid w:val="00E1214F"/>
    <w:rsid w:val="00E2285B"/>
    <w:rsid w:val="00E26EBA"/>
    <w:rsid w:val="00E45E68"/>
    <w:rsid w:val="00E66D68"/>
    <w:rsid w:val="00E73C33"/>
    <w:rsid w:val="00E81506"/>
    <w:rsid w:val="00E90209"/>
    <w:rsid w:val="00E92D97"/>
    <w:rsid w:val="00E93BEA"/>
    <w:rsid w:val="00EB29EE"/>
    <w:rsid w:val="00ED7E30"/>
    <w:rsid w:val="00EE1853"/>
    <w:rsid w:val="00EE32BA"/>
    <w:rsid w:val="00EE5AD2"/>
    <w:rsid w:val="00EF20AE"/>
    <w:rsid w:val="00EF64E9"/>
    <w:rsid w:val="00F10EDC"/>
    <w:rsid w:val="00F20616"/>
    <w:rsid w:val="00F23C38"/>
    <w:rsid w:val="00F461BA"/>
    <w:rsid w:val="00F561ED"/>
    <w:rsid w:val="00F62BBD"/>
    <w:rsid w:val="00F62EBF"/>
    <w:rsid w:val="00F92788"/>
    <w:rsid w:val="00FB0325"/>
    <w:rsid w:val="00FC0538"/>
    <w:rsid w:val="00FC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A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33B73"/>
  <w15:chartTrackingRefBased/>
  <w15:docId w15:val="{1DD7AB43-7BE6-49F7-B1CE-D42ED436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A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326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326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326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326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326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rsid w:val="00326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unhideWhenUsed/>
    <w:qFormat/>
    <w:rsid w:val="00326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6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6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6A3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326A3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326A3B"/>
    <w:rPr>
      <w:rFonts w:eastAsiaTheme="majorEastAsia" w:cstheme="majorBidi"/>
      <w:color w:val="0F4761" w:themeColor="accent1" w:themeShade="BF"/>
      <w:sz w:val="28"/>
      <w:szCs w:val="28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326A3B"/>
    <w:rPr>
      <w:rFonts w:eastAsiaTheme="majorEastAsia" w:cstheme="majorBidi"/>
      <w:i/>
      <w:iCs/>
      <w:color w:val="0F4761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326A3B"/>
    <w:rPr>
      <w:rFonts w:eastAsiaTheme="majorEastAsia" w:cstheme="majorBidi"/>
      <w:color w:val="0F4761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326A3B"/>
    <w:rPr>
      <w:rFonts w:eastAsiaTheme="majorEastAsia" w:cstheme="majorBidi"/>
      <w:i/>
      <w:iCs/>
      <w:color w:val="595959" w:themeColor="text1" w:themeTint="A6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rsid w:val="00326A3B"/>
    <w:rPr>
      <w:rFonts w:eastAsiaTheme="majorEastAsia" w:cstheme="majorBidi"/>
      <w:color w:val="595959" w:themeColor="text1" w:themeTint="A6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6A3B"/>
    <w:rPr>
      <w:rFonts w:eastAsiaTheme="majorEastAsia" w:cstheme="majorBidi"/>
      <w:i/>
      <w:iCs/>
      <w:color w:val="272727" w:themeColor="text1" w:themeTint="D8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6A3B"/>
    <w:rPr>
      <w:rFonts w:eastAsiaTheme="majorEastAsia" w:cstheme="majorBidi"/>
      <w:color w:val="272727" w:themeColor="text1" w:themeTint="D8"/>
      <w:lang w:val="pt-PT"/>
    </w:rPr>
  </w:style>
  <w:style w:type="paragraph" w:styleId="Ttulo">
    <w:name w:val="Title"/>
    <w:basedOn w:val="Normal"/>
    <w:next w:val="Normal"/>
    <w:link w:val="TtuloCarter"/>
    <w:uiPriority w:val="10"/>
    <w:qFormat/>
    <w:rsid w:val="00326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6A3B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6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6A3B"/>
    <w:rPr>
      <w:rFonts w:eastAsiaTheme="majorEastAsia" w:cstheme="majorBidi"/>
      <w:color w:val="595959" w:themeColor="text1" w:themeTint="A6"/>
      <w:spacing w:val="15"/>
      <w:sz w:val="28"/>
      <w:szCs w:val="28"/>
      <w:lang w:val="pt-PT"/>
    </w:rPr>
  </w:style>
  <w:style w:type="paragraph" w:styleId="Citao">
    <w:name w:val="Quote"/>
    <w:basedOn w:val="Normal"/>
    <w:next w:val="Normal"/>
    <w:link w:val="CitaoCarter"/>
    <w:uiPriority w:val="29"/>
    <w:qFormat/>
    <w:rsid w:val="00326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6A3B"/>
    <w:rPr>
      <w:i/>
      <w:iCs/>
      <w:color w:val="404040" w:themeColor="text1" w:themeTint="BF"/>
      <w:lang w:val="pt-PT"/>
    </w:rPr>
  </w:style>
  <w:style w:type="paragraph" w:styleId="PargrafodaLista">
    <w:name w:val="List Paragraph"/>
    <w:basedOn w:val="Normal"/>
    <w:uiPriority w:val="1"/>
    <w:qFormat/>
    <w:rsid w:val="00326A3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6A3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6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6A3B"/>
    <w:rPr>
      <w:i/>
      <w:iCs/>
      <w:color w:val="0F4761" w:themeColor="accent1" w:themeShade="BF"/>
      <w:lang w:val="pt-PT"/>
    </w:rPr>
  </w:style>
  <w:style w:type="character" w:styleId="RefernciaIntensa">
    <w:name w:val="Intense Reference"/>
    <w:basedOn w:val="Tipodeletrapredefinidodopargrafo"/>
    <w:uiPriority w:val="32"/>
    <w:qFormat/>
    <w:rsid w:val="00326A3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1F0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F09FB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1F09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F09FB"/>
    <w:rPr>
      <w:lang w:val="pt-PT"/>
    </w:rPr>
  </w:style>
  <w:style w:type="table" w:styleId="TabelacomGrelha">
    <w:name w:val="Table Grid"/>
    <w:basedOn w:val="Tabelanormal"/>
    <w:rsid w:val="001F09FB"/>
    <w:pPr>
      <w:spacing w:after="0" w:line="240" w:lineRule="auto"/>
    </w:pPr>
    <w:rPr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E388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E388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E3885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E388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E3885"/>
    <w:rPr>
      <w:b/>
      <w:bCs/>
      <w:sz w:val="20"/>
      <w:szCs w:val="20"/>
      <w:lang w:val="pt-PT"/>
    </w:rPr>
  </w:style>
  <w:style w:type="paragraph" w:styleId="Cabealhodondice">
    <w:name w:val="TOC Heading"/>
    <w:basedOn w:val="Ttulo1"/>
    <w:next w:val="Normal"/>
    <w:uiPriority w:val="39"/>
    <w:unhideWhenUsed/>
    <w:qFormat/>
    <w:rsid w:val="00B873E4"/>
    <w:pPr>
      <w:spacing w:before="240" w:after="0" w:line="259" w:lineRule="auto"/>
      <w:outlineLvl w:val="9"/>
    </w:pPr>
    <w:rPr>
      <w:kern w:val="0"/>
      <w:sz w:val="32"/>
      <w:szCs w:val="32"/>
      <w:lang w:val="pt-AO" w:eastAsia="pt-AO"/>
      <w14:ligatures w14:val="none"/>
    </w:rPr>
  </w:style>
  <w:style w:type="paragraph" w:styleId="ndice3">
    <w:name w:val="toc 3"/>
    <w:basedOn w:val="Normal"/>
    <w:next w:val="Normal"/>
    <w:autoRedefine/>
    <w:uiPriority w:val="39"/>
    <w:unhideWhenUsed/>
    <w:rsid w:val="006438D8"/>
    <w:pPr>
      <w:spacing w:after="100"/>
      <w:ind w:left="480"/>
    </w:pPr>
  </w:style>
  <w:style w:type="character" w:styleId="Hiperligao">
    <w:name w:val="Hyperlink"/>
    <w:basedOn w:val="Tipodeletrapredefinidodopargrafo"/>
    <w:uiPriority w:val="99"/>
    <w:unhideWhenUsed/>
    <w:rsid w:val="006438D8"/>
    <w:rPr>
      <w:color w:val="467886" w:themeColor="hyperlink"/>
      <w:u w:val="single"/>
    </w:rPr>
  </w:style>
  <w:style w:type="paragraph" w:styleId="ndice1">
    <w:name w:val="toc 1"/>
    <w:basedOn w:val="Normal"/>
    <w:next w:val="Normal"/>
    <w:autoRedefine/>
    <w:uiPriority w:val="39"/>
    <w:unhideWhenUsed/>
    <w:rsid w:val="004D3A11"/>
    <w:pPr>
      <w:spacing w:after="100"/>
    </w:pPr>
  </w:style>
  <w:style w:type="numbering" w:customStyle="1" w:styleId="Listaatual1">
    <w:name w:val="Lista atual1"/>
    <w:uiPriority w:val="99"/>
    <w:rsid w:val="0076037C"/>
    <w:pPr>
      <w:numPr>
        <w:numId w:val="1"/>
      </w:numPr>
    </w:pPr>
  </w:style>
  <w:style w:type="paragraph" w:styleId="ndice2">
    <w:name w:val="toc 2"/>
    <w:basedOn w:val="Normal"/>
    <w:next w:val="Normal"/>
    <w:autoRedefine/>
    <w:uiPriority w:val="39"/>
    <w:unhideWhenUsed/>
    <w:rsid w:val="00E66D68"/>
    <w:pPr>
      <w:spacing w:after="100"/>
      <w:ind w:left="240"/>
    </w:pPr>
  </w:style>
  <w:style w:type="paragraph" w:customStyle="1" w:styleId="isselectedend">
    <w:name w:val="isselectedend"/>
    <w:basedOn w:val="Normal"/>
    <w:rsid w:val="000D0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t-AO" w:eastAsia="pt-AO"/>
      <w14:ligatures w14:val="none"/>
    </w:rPr>
  </w:style>
  <w:style w:type="character" w:styleId="Forte">
    <w:name w:val="Strong"/>
    <w:basedOn w:val="Tipodeletrapredefinidodopargrafo"/>
    <w:uiPriority w:val="22"/>
    <w:qFormat/>
    <w:rsid w:val="000D0E7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D0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t-AO" w:eastAsia="pt-A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785D2-C9FE-4256-8C09-AC626C007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4014</Words>
  <Characters>22961</Characters>
  <Application>Microsoft Office Word</Application>
  <DocSecurity>0</DocSecurity>
  <Lines>588</Lines>
  <Paragraphs>306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Angelo</dc:creator>
  <cp:keywords/>
  <dc:description/>
  <cp:lastModifiedBy>Antonio Angelo</cp:lastModifiedBy>
  <cp:revision>8</cp:revision>
  <cp:lastPrinted>2026-06-26T13:27:00Z</cp:lastPrinted>
  <dcterms:created xsi:type="dcterms:W3CDTF">2026-06-21T21:41:00Z</dcterms:created>
  <dcterms:modified xsi:type="dcterms:W3CDTF">2026-07-22T09:49:00Z</dcterms:modified>
</cp:coreProperties>
</file>